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4D00EB" w:rsidP="004D00EB">
            <w:pPr>
              <w:adjustRightInd w:val="0"/>
              <w:snapToGrid w:val="0"/>
              <w:jc w:val="center"/>
              <w:rPr>
                <w:rFonts w:ascii="宋体" w:eastAsia="宋体" w:hAnsi="宋体"/>
                <w:sz w:val="21"/>
                <w:szCs w:val="21"/>
              </w:rPr>
            </w:pPr>
            <w:r w:rsidRPr="004D00EB">
              <w:rPr>
                <w:rFonts w:ascii="宋体" w:eastAsia="宋体" w:hAnsi="宋体" w:hint="eastAsia"/>
                <w:sz w:val="21"/>
                <w:szCs w:val="21"/>
              </w:rPr>
              <w:t>中山天时利精密科技有限公司年产汽车内外装喷涂饰件2400件异址扩建项目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2B547A"/>
    <w:rsid w:val="004D00EB"/>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8</cp:revision>
  <dcterms:created xsi:type="dcterms:W3CDTF">2018-10-24T02:14:00Z</dcterms:created>
  <dcterms:modified xsi:type="dcterms:W3CDTF">2021-07-21T10:53:00Z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