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C9DEB">
      <w:pPr>
        <w:keepNext w:val="0"/>
        <w:keepLines w:val="0"/>
        <w:pageBreakBefore w:val="0"/>
        <w:widowControl w:val="0"/>
        <w:shd w:val="clear"/>
        <w:kinsoku/>
        <w:wordWrap/>
        <w:overflowPunct/>
        <w:topLinePunct w:val="0"/>
        <w:autoSpaceDE/>
        <w:autoSpaceDN/>
        <w:bidi w:val="0"/>
        <w:adjustRightInd w:val="0"/>
        <w:snapToGrid w:val="0"/>
        <w:spacing w:line="288" w:lineRule="auto"/>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p>
    <w:p w14:paraId="2AE87F3B">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textAlignment w:val="auto"/>
        <w:rPr>
          <w:rFonts w:hint="default" w:ascii="Times New Roman" w:hAnsi="Times New Roman" w:eastAsia="宋体" w:cs="Times New Roman"/>
          <w:color w:val="000000" w:themeColor="text1"/>
          <w:highlight w:val="none"/>
          <w14:textFill>
            <w14:solidFill>
              <w14:schemeClr w14:val="tx1"/>
            </w14:solidFill>
          </w14:textFill>
        </w:rPr>
      </w:pPr>
    </w:p>
    <w:p w14:paraId="52AA3E01">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textAlignment w:val="auto"/>
        <w:rPr>
          <w:rFonts w:hint="default" w:ascii="Times New Roman" w:hAnsi="Times New Roman" w:eastAsia="宋体" w:cs="Times New Roman"/>
          <w:color w:val="000000" w:themeColor="text1"/>
          <w:highlight w:val="none"/>
          <w14:textFill>
            <w14:solidFill>
              <w14:schemeClr w14:val="tx1"/>
            </w14:solidFill>
          </w14:textFill>
        </w:rPr>
      </w:pPr>
    </w:p>
    <w:p w14:paraId="73D69D5B">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textAlignment w:val="auto"/>
        <w:rPr>
          <w:rFonts w:hint="default" w:ascii="Times New Roman" w:hAnsi="Times New Roman" w:eastAsia="宋体" w:cs="Times New Roman"/>
          <w:color w:val="000000" w:themeColor="text1"/>
          <w:highlight w:val="none"/>
          <w14:textFill>
            <w14:solidFill>
              <w14:schemeClr w14:val="tx1"/>
            </w14:solidFill>
          </w14:textFill>
        </w:rPr>
      </w:pPr>
    </w:p>
    <w:p w14:paraId="590B6B36">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textAlignment w:val="auto"/>
        <w:rPr>
          <w:rFonts w:hint="default" w:ascii="Times New Roman" w:hAnsi="Times New Roman" w:eastAsia="宋体" w:cs="Times New Roman"/>
          <w:color w:val="000000" w:themeColor="text1"/>
          <w:highlight w:val="none"/>
          <w14:textFill>
            <w14:solidFill>
              <w14:schemeClr w14:val="tx1"/>
            </w14:solidFill>
          </w14:textFill>
        </w:rPr>
      </w:pPr>
    </w:p>
    <w:p w14:paraId="7A56C1D4">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textAlignment w:val="auto"/>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15AC4B50">
      <w:pPr>
        <w:shd w:val="clear"/>
        <w:bidi w:val="0"/>
        <w:jc w:val="center"/>
        <w:rPr>
          <w:rFonts w:hint="default" w:ascii="Times New Roman" w:hAnsi="Times New Roman" w:cs="Times New Roman"/>
          <w:b/>
          <w:bCs/>
          <w:color w:val="000000" w:themeColor="text1"/>
          <w:sz w:val="48"/>
          <w:szCs w:val="48"/>
          <w:highlight w:val="none"/>
          <w:lang w:val="en-US" w:eastAsia="zh-CN"/>
          <w14:textFill>
            <w14:solidFill>
              <w14:schemeClr w14:val="tx1"/>
            </w14:solidFill>
          </w14:textFill>
        </w:rPr>
      </w:pPr>
      <w:r>
        <w:rPr>
          <w:rFonts w:hint="default" w:ascii="Times New Roman" w:hAnsi="Times New Roman" w:cs="Times New Roman"/>
          <w:b/>
          <w:bCs/>
          <w:color w:val="000000" w:themeColor="text1"/>
          <w:sz w:val="48"/>
          <w:szCs w:val="48"/>
          <w:highlight w:val="none"/>
          <w:lang w:val="en-US" w:eastAsia="zh-CN"/>
          <w14:textFill>
            <w14:solidFill>
              <w14:schemeClr w14:val="tx1"/>
            </w14:solidFill>
          </w14:textFill>
        </w:rPr>
        <w:t>建设项目环境影响报告表</w:t>
      </w:r>
    </w:p>
    <w:p w14:paraId="6A5A4F31">
      <w:pPr>
        <w:keepNext w:val="0"/>
        <w:keepLines w:val="0"/>
        <w:pageBreakBefore w:val="0"/>
        <w:widowControl w:val="0"/>
        <w:shd w:val="clear"/>
        <w:kinsoku/>
        <w:wordWrap/>
        <w:overflowPunct/>
        <w:topLinePunct w:val="0"/>
        <w:autoSpaceDE/>
        <w:autoSpaceDN/>
        <w:bidi w:val="0"/>
        <w:adjustRightInd w:val="0"/>
        <w:snapToGrid w:val="0"/>
        <w:spacing w:line="288" w:lineRule="auto"/>
        <w:ind w:left="-1050" w:leftChars="-500"/>
        <w:jc w:val="center"/>
        <w:textAlignment w:val="auto"/>
        <w:rPr>
          <w:rFonts w:hint="default" w:ascii="Times New Roman" w:hAnsi="Times New Roman" w:eastAsia="宋体" w:cs="Times New Roman"/>
          <w:color w:val="000000" w:themeColor="text1"/>
          <w:sz w:val="48"/>
          <w:szCs w:val="4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48"/>
          <w:szCs w:val="48"/>
          <w:highlight w:val="none"/>
          <w:lang w:val="en-US" w:eastAsia="zh-CN"/>
          <w14:textFill>
            <w14:solidFill>
              <w14:schemeClr w14:val="tx1"/>
            </w14:solidFill>
          </w14:textFill>
        </w:rPr>
        <w:t>（污染影响型）</w:t>
      </w:r>
    </w:p>
    <w:p w14:paraId="434FF7AA">
      <w:pPr>
        <w:pStyle w:val="50"/>
        <w:shd w:val="clear"/>
        <w:ind w:left="0" w:leftChars="0" w:firstLine="0" w:firstLineChars="0"/>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14115045">
      <w:pPr>
        <w:shd w:val="clear"/>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32351A18">
      <w:pPr>
        <w:pStyle w:val="48"/>
        <w:shd w:val="clear"/>
        <w:jc w:val="both"/>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0B03863F">
      <w:pPr>
        <w:pStyle w:val="50"/>
        <w:shd w:val="clear"/>
        <w:ind w:left="0" w:leftChars="0" w:firstLine="0" w:firstLineChars="0"/>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43FE8244">
      <w:pPr>
        <w:pStyle w:val="50"/>
        <w:shd w:val="clear"/>
        <w:ind w:left="0" w:leftChars="0" w:firstLine="0" w:firstLineChars="0"/>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1C6C7BE6">
      <w:pPr>
        <w:shd w:val="clear"/>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05378663">
      <w:pPr>
        <w:pStyle w:val="50"/>
        <w:keepNext w:val="0"/>
        <w:keepLines w:val="0"/>
        <w:pageBreakBefore w:val="0"/>
        <w:widowControl w:val="0"/>
        <w:shd w:val="clear"/>
        <w:kinsoku/>
        <w:bidi w:val="0"/>
        <w:snapToGrid/>
        <w:spacing w:line="360" w:lineRule="auto"/>
        <w:ind w:left="0" w:leftChars="0" w:firstLine="0" w:firstLineChars="0"/>
        <w:jc w:val="center"/>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32"/>
          <w:szCs w:val="32"/>
          <w:highlight w:val="none"/>
          <w:lang w:val="en-US" w:eastAsia="zh-CN"/>
          <w14:textFill>
            <w14:solidFill>
              <w14:schemeClr w14:val="tx1"/>
            </w14:solidFill>
          </w14:textFill>
        </w:rPr>
        <w:t>项目名称：</w:t>
      </w:r>
      <w:r>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t>中山快科五金压铸有限公司年产240吨铝合金压铸件、20吨锌合金压铸件和10吨模具新建项目</w:t>
      </w:r>
    </w:p>
    <w:p w14:paraId="615A5867">
      <w:pPr>
        <w:pStyle w:val="50"/>
        <w:keepNext w:val="0"/>
        <w:keepLines w:val="0"/>
        <w:pageBreakBefore w:val="0"/>
        <w:widowControl w:val="0"/>
        <w:shd w:val="clear"/>
        <w:kinsoku/>
        <w:bidi w:val="0"/>
        <w:snapToGrid/>
        <w:spacing w:line="360" w:lineRule="auto"/>
        <w:ind w:left="0" w:leftChars="0" w:firstLine="0" w:firstLineChars="0"/>
        <w:jc w:val="center"/>
        <w:rPr>
          <w:rFonts w:hint="default" w:ascii="Times New Roman" w:hAnsi="Times New Roman" w:cs="Times New Roman"/>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32"/>
          <w:szCs w:val="32"/>
          <w:highlight w:val="none"/>
          <w:lang w:val="en-US" w:eastAsia="zh-CN"/>
          <w14:textFill>
            <w14:solidFill>
              <w14:schemeClr w14:val="tx1"/>
            </w14:solidFill>
          </w14:textFill>
        </w:rPr>
        <w:t>建设单位(盖章)：</w:t>
      </w:r>
      <w:r>
        <w:rPr>
          <w:rFonts w:hint="default" w:ascii="Times New Roman" w:hAnsi="Times New Roman" w:cs="Times New Roman"/>
          <w:color w:val="000000" w:themeColor="text1"/>
          <w:sz w:val="32"/>
          <w:szCs w:val="32"/>
          <w:highlight w:val="none"/>
          <w:u w:val="single"/>
          <w:lang w:val="en-US" w:eastAsia="zh-CN"/>
          <w14:textFill>
            <w14:solidFill>
              <w14:schemeClr w14:val="tx1"/>
            </w14:solidFill>
          </w14:textFill>
        </w:rPr>
        <w:t>中山快科五金压铸有限公司</w:t>
      </w:r>
    </w:p>
    <w:p w14:paraId="7823D931">
      <w:pPr>
        <w:pStyle w:val="50"/>
        <w:keepNext w:val="0"/>
        <w:keepLines w:val="0"/>
        <w:pageBreakBefore w:val="0"/>
        <w:widowControl w:val="0"/>
        <w:shd w:val="clear"/>
        <w:kinsoku/>
        <w:bidi w:val="0"/>
        <w:snapToGrid/>
        <w:spacing w:line="360" w:lineRule="auto"/>
        <w:ind w:left="0" w:leftChars="0" w:firstLine="0" w:firstLineChars="0"/>
        <w:jc w:val="center"/>
        <w:rPr>
          <w:rFonts w:hint="default" w:ascii="Times New Roman" w:hAnsi="Times New Roman" w:eastAsia="宋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32"/>
          <w:szCs w:val="32"/>
          <w:highlight w:val="none"/>
          <w:lang w:val="en-US" w:eastAsia="zh-CN"/>
          <w14:textFill>
            <w14:solidFill>
              <w14:schemeClr w14:val="tx1"/>
            </w14:solidFill>
          </w14:textFill>
        </w:rPr>
        <w:t>编制日期：202</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32"/>
          <w:szCs w:val="32"/>
          <w:highlight w:val="none"/>
          <w:lang w:val="en-US" w:eastAsia="zh-CN"/>
          <w14:textFill>
            <w14:solidFill>
              <w14:schemeClr w14:val="tx1"/>
            </w14:solidFill>
          </w14:textFill>
        </w:rPr>
        <w:t>年</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32"/>
          <w:szCs w:val="32"/>
          <w:highlight w:val="none"/>
          <w:lang w:val="en-US" w:eastAsia="zh-CN"/>
          <w14:textFill>
            <w14:solidFill>
              <w14:schemeClr w14:val="tx1"/>
            </w14:solidFill>
          </w14:textFill>
        </w:rPr>
        <w:t>月</w:t>
      </w:r>
    </w:p>
    <w:p w14:paraId="52E1D405">
      <w:pPr>
        <w:shd w:val="clear"/>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4667EE0E">
      <w:pPr>
        <w:pStyle w:val="48"/>
        <w:shd w:val="clear"/>
        <w:tabs>
          <w:tab w:val="left" w:pos="4931"/>
        </w:tabs>
        <w:jc w:val="both"/>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r>
        <w:rPr>
          <w:rFonts w:hint="eastAsia" w:ascii="Times New Roman" w:cs="Times New Roman"/>
          <w:color w:val="000000" w:themeColor="text1"/>
          <w:sz w:val="36"/>
          <w:szCs w:val="36"/>
          <w:highlight w:val="none"/>
          <w:lang w:val="en-US" w:eastAsia="zh-CN"/>
          <w14:textFill>
            <w14:solidFill>
              <w14:schemeClr w14:val="tx1"/>
            </w14:solidFill>
          </w14:textFill>
        </w:rPr>
        <w:tab/>
      </w:r>
    </w:p>
    <w:p w14:paraId="51C72DDD">
      <w:pPr>
        <w:pStyle w:val="50"/>
        <w:shd w:val="clear"/>
        <w:ind w:left="0" w:leftChars="0" w:firstLine="0" w:firstLineChars="0"/>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4B793220">
      <w:pPr>
        <w:shd w:val="clear"/>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5C0C2D66">
      <w:pPr>
        <w:shd w:val="clear"/>
        <w:bidi w:val="0"/>
        <w:jc w:val="center"/>
        <w:rPr>
          <w:rFonts w:hint="default" w:ascii="Times New Roman" w:hAnsi="Times New Roman" w:cs="Times New Roman"/>
          <w:color w:val="000000" w:themeColor="text1"/>
          <w:sz w:val="36"/>
          <w:szCs w:val="36"/>
          <w:highlight w:val="none"/>
          <w:lang w:val="en-US" w:eastAsia="zh-CN"/>
          <w14:textFill>
            <w14:solidFill>
              <w14:schemeClr w14:val="tx1"/>
            </w14:solidFill>
          </w14:textFill>
        </w:rPr>
      </w:pPr>
      <w:r>
        <w:rPr>
          <w:rFonts w:hint="default" w:ascii="Times New Roman" w:hAnsi="Times New Roman" w:cs="Times New Roman"/>
          <w:color w:val="000000" w:themeColor="text1"/>
          <w:sz w:val="36"/>
          <w:szCs w:val="36"/>
          <w:highlight w:val="none"/>
          <w:lang w:val="en-US" w:eastAsia="zh-CN"/>
          <w14:textFill>
            <w14:solidFill>
              <w14:schemeClr w14:val="tx1"/>
            </w14:solidFill>
          </w14:textFill>
        </w:rPr>
        <w:t>中华人民共和国生态环境部制</w:t>
      </w:r>
    </w:p>
    <w:p w14:paraId="30801C89">
      <w:pPr>
        <w:pStyle w:val="48"/>
        <w:shd w:val="clear"/>
        <w:jc w:val="both"/>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228DD652">
      <w:pPr>
        <w:pStyle w:val="50"/>
        <w:shd w:val="clear"/>
        <w:ind w:left="0" w:lef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6DF2941B">
      <w:pPr>
        <w:pStyle w:val="50"/>
        <w:shd w:val="clear"/>
        <w:ind w:left="0" w:leftChars="0" w:firstLine="0" w:firstLineChars="0"/>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p>
    <w:p w14:paraId="2C94FC31">
      <w:pPr>
        <w:shd w:val="clear"/>
        <w:spacing w:before="0" w:beforeLines="0" w:after="0" w:afterLines="0" w:line="240" w:lineRule="auto"/>
        <w:ind w:left="0" w:leftChars="0" w:right="0" w:rightChars="0" w:firstLine="0" w:firstLineChars="0"/>
        <w:jc w:val="center"/>
        <w:rPr>
          <w:rFonts w:hint="eastAsia" w:eastAsiaTheme="minorEastAsia"/>
          <w:color w:val="000000" w:themeColor="text1"/>
          <w:lang w:eastAsia="zh-CN"/>
          <w14:textFill>
            <w14:solidFill>
              <w14:schemeClr w14:val="tx1"/>
            </w14:solidFill>
          </w14:textFill>
        </w:rPr>
        <w:sectPr>
          <w:headerReference r:id="rId3" w:type="default"/>
          <w:footerReference r:id="rId4" w:type="default"/>
          <w:pgSz w:w="11906" w:h="16838"/>
          <w:pgMar w:top="1701" w:right="1531" w:bottom="1701" w:left="1531" w:header="851" w:footer="850" w:gutter="0"/>
          <w:pgNumType w:start="1"/>
          <w:cols w:space="720" w:num="1"/>
          <w:docGrid w:linePitch="312" w:charSpace="0"/>
        </w:sectPr>
      </w:pPr>
    </w:p>
    <w:p w14:paraId="7A1913C6">
      <w:pPr>
        <w:shd w:val="clear"/>
        <w:spacing w:before="0" w:beforeLines="0" w:after="0" w:afterLines="0" w:line="240" w:lineRule="auto"/>
        <w:ind w:left="0" w:leftChars="0" w:right="0" w:rightChars="0" w:firstLine="0" w:firstLineChars="0"/>
        <w:jc w:val="center"/>
        <w:rPr>
          <w:rFonts w:hint="default" w:ascii="Times New Roman" w:hAnsi="Times New Roman" w:eastAsia="宋体" w:cs="Times New Roman"/>
          <w:b/>
          <w:bCs/>
          <w:color w:val="000000" w:themeColor="text1"/>
          <w:sz w:val="32"/>
          <w:szCs w:val="32"/>
          <w:highlight w:val="none"/>
          <w14:textFill>
            <w14:solidFill>
              <w14:schemeClr w14:val="tx1"/>
            </w14:solidFill>
          </w14:textFill>
        </w:rPr>
      </w:pPr>
      <w:r>
        <w:rPr>
          <w:rFonts w:hint="default" w:ascii="Times New Roman" w:hAnsi="Times New Roman" w:eastAsia="宋体" w:cs="Times New Roman"/>
          <w:b/>
          <w:bCs/>
          <w:color w:val="000000" w:themeColor="text1"/>
          <w:sz w:val="32"/>
          <w:szCs w:val="32"/>
          <w:highlight w:val="none"/>
          <w14:textFill>
            <w14:solidFill>
              <w14:schemeClr w14:val="tx1"/>
            </w14:solidFill>
          </w14:textFill>
        </w:rPr>
        <w:t>目录</w:t>
      </w:r>
    </w:p>
    <w:p w14:paraId="3D4ED694">
      <w:pPr>
        <w:pStyle w:val="29"/>
        <w:shd w:val="clear"/>
        <w:tabs>
          <w:tab w:val="right" w:leader="dot" w:pos="8844"/>
        </w:tabs>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fldChar w:fldCharType="begin"/>
      </w:r>
      <w:r>
        <w:rPr>
          <w:rFonts w:hint="default" w:ascii="Times New Roman" w:hAnsi="Times New Roman" w:eastAsia="宋体" w:cs="Times New Roman"/>
          <w:color w:val="000000" w:themeColor="text1"/>
          <w:highlight w:val="none"/>
          <w14:textFill>
            <w14:solidFill>
              <w14:schemeClr w14:val="tx1"/>
            </w14:solidFill>
          </w14:textFill>
        </w:rPr>
        <w:instrText xml:space="preserve">TOC \o "1-2" \h \u </w:instrText>
      </w:r>
      <w:r>
        <w:rPr>
          <w:rFonts w:hint="default" w:ascii="Times New Roman" w:hAnsi="Times New Roman" w:eastAsia="宋体" w:cs="Times New Roman"/>
          <w:color w:val="000000" w:themeColor="text1"/>
          <w:highlight w:val="none"/>
          <w14:textFill>
            <w14:solidFill>
              <w14:schemeClr w14:val="tx1"/>
            </w14:solidFill>
          </w14:textFill>
        </w:rPr>
        <w:fldChar w:fldCharType="separate"/>
      </w:r>
      <w:r>
        <w:rPr>
          <w:rFonts w:hint="default" w:ascii="Times New Roman" w:hAnsi="Times New Roman" w:eastAsia="宋体" w:cs="Times New Roman"/>
          <w:color w:val="000000" w:themeColor="text1"/>
          <w:highlight w:val="none"/>
          <w14:textFill>
            <w14:solidFill>
              <w14:schemeClr w14:val="tx1"/>
            </w14:solidFill>
          </w14:textFill>
        </w:rPr>
        <w:fldChar w:fldCharType="begin"/>
      </w:r>
      <w:r>
        <w:rPr>
          <w:rFonts w:hint="default" w:ascii="Times New Roman" w:hAnsi="Times New Roman" w:eastAsia="宋体" w:cs="Times New Roman"/>
          <w:color w:val="000000" w:themeColor="text1"/>
          <w:highlight w:val="none"/>
          <w14:textFill>
            <w14:solidFill>
              <w14:schemeClr w14:val="tx1"/>
            </w14:solidFill>
          </w14:textFill>
        </w:rPr>
        <w:instrText xml:space="preserve"> HYPERLINK \l _Toc14488 </w:instrText>
      </w:r>
      <w:r>
        <w:rPr>
          <w:rFonts w:hint="default" w:ascii="Times New Roman" w:hAnsi="Times New Roman" w:eastAsia="宋体" w:cs="Times New Roman"/>
          <w:color w:val="000000" w:themeColor="text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32"/>
          <w:highlight w:val="none"/>
          <w14:textFill>
            <w14:solidFill>
              <w14:schemeClr w14:val="tx1"/>
            </w14:solidFill>
          </w14:textFill>
        </w:rPr>
        <w:t>一、建设项目基本情况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_Toc14488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rFonts w:hint="default" w:ascii="Times New Roman" w:hAnsi="Times New Roman" w:eastAsia="宋体" w:cs="Times New Roman"/>
          <w:color w:val="000000" w:themeColor="text1"/>
          <w:highlight w:val="none"/>
          <w14:textFill>
            <w14:solidFill>
              <w14:schemeClr w14:val="tx1"/>
            </w14:solidFill>
          </w14:textFill>
        </w:rPr>
        <w:fldChar w:fldCharType="end"/>
      </w:r>
    </w:p>
    <w:p w14:paraId="085C167B">
      <w:pPr>
        <w:pStyle w:val="29"/>
        <w:shd w:val="clear"/>
        <w:tabs>
          <w:tab w:val="right" w:leader="dot" w:pos="8844"/>
        </w:tabs>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fldChar w:fldCharType="begin"/>
      </w:r>
      <w:r>
        <w:rPr>
          <w:rFonts w:hint="default" w:ascii="Times New Roman" w:hAnsi="Times New Roman" w:eastAsia="宋体" w:cs="Times New Roman"/>
          <w:color w:val="000000" w:themeColor="text1"/>
          <w:highlight w:val="none"/>
          <w14:textFill>
            <w14:solidFill>
              <w14:schemeClr w14:val="tx1"/>
            </w14:solidFill>
          </w14:textFill>
        </w:rPr>
        <w:instrText xml:space="preserve"> HYPERLINK \l _Toc1559 </w:instrText>
      </w:r>
      <w:r>
        <w:rPr>
          <w:rFonts w:hint="default" w:ascii="Times New Roman" w:hAnsi="Times New Roman" w:eastAsia="宋体" w:cs="Times New Roman"/>
          <w:color w:val="000000" w:themeColor="text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32"/>
          <w:highlight w:val="none"/>
          <w14:textFill>
            <w14:solidFill>
              <w14:schemeClr w14:val="tx1"/>
            </w14:solidFill>
          </w14:textFill>
        </w:rPr>
        <w:t>二、建设项目工程分析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rFonts w:hint="default" w:ascii="Times New Roman" w:hAnsi="Times New Roman" w:eastAsia="宋体" w:cs="Times New Roman"/>
          <w:color w:val="000000" w:themeColor="text1"/>
          <w:highlight w:val="none"/>
          <w14:textFill>
            <w14:solidFill>
              <w14:schemeClr w14:val="tx1"/>
            </w14:solidFill>
          </w14:textFill>
        </w:rPr>
        <w:fldChar w:fldCharType="end"/>
      </w:r>
    </w:p>
    <w:p w14:paraId="3A12B1DF">
      <w:pPr>
        <w:pStyle w:val="29"/>
        <w:shd w:val="clear"/>
        <w:tabs>
          <w:tab w:val="right" w:leader="dot" w:pos="8844"/>
        </w:tabs>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fldChar w:fldCharType="begin"/>
      </w:r>
      <w:r>
        <w:rPr>
          <w:rFonts w:hint="default" w:ascii="Times New Roman" w:hAnsi="Times New Roman" w:eastAsia="宋体" w:cs="Times New Roman"/>
          <w:color w:val="000000" w:themeColor="text1"/>
          <w:highlight w:val="none"/>
          <w14:textFill>
            <w14:solidFill>
              <w14:schemeClr w14:val="tx1"/>
            </w14:solidFill>
          </w14:textFill>
        </w:rPr>
        <w:instrText xml:space="preserve"> HYPERLINK \l _Toc3817 </w:instrText>
      </w:r>
      <w:r>
        <w:rPr>
          <w:rFonts w:hint="default" w:ascii="Times New Roman" w:hAnsi="Times New Roman" w:eastAsia="宋体" w:cs="Times New Roman"/>
          <w:color w:val="000000" w:themeColor="text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32"/>
          <w:highlight w:val="none"/>
          <w14:textFill>
            <w14:solidFill>
              <w14:schemeClr w14:val="tx1"/>
            </w14:solidFill>
          </w14:textFill>
        </w:rPr>
        <w:t>三、区域环境质量现状、环境保护目标及评价标准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_Toc3817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default" w:ascii="Times New Roman" w:hAnsi="Times New Roman" w:eastAsia="宋体" w:cs="Times New Roman"/>
          <w:color w:val="000000" w:themeColor="text1"/>
          <w:highlight w:val="none"/>
          <w14:textFill>
            <w14:solidFill>
              <w14:schemeClr w14:val="tx1"/>
            </w14:solidFill>
          </w14:textFill>
        </w:rPr>
        <w:fldChar w:fldCharType="end"/>
      </w:r>
    </w:p>
    <w:p w14:paraId="383CBEB2">
      <w:pPr>
        <w:pStyle w:val="29"/>
        <w:shd w:val="clear"/>
        <w:tabs>
          <w:tab w:val="right" w:leader="dot" w:pos="8844"/>
        </w:tabs>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fldChar w:fldCharType="begin"/>
      </w:r>
      <w:r>
        <w:rPr>
          <w:rFonts w:hint="default" w:ascii="Times New Roman" w:hAnsi="Times New Roman" w:eastAsia="宋体" w:cs="Times New Roman"/>
          <w:color w:val="000000" w:themeColor="text1"/>
          <w:highlight w:val="none"/>
          <w14:textFill>
            <w14:solidFill>
              <w14:schemeClr w14:val="tx1"/>
            </w14:solidFill>
          </w14:textFill>
        </w:rPr>
        <w:instrText xml:space="preserve"> HYPERLINK \l _Toc17334 </w:instrText>
      </w:r>
      <w:r>
        <w:rPr>
          <w:rFonts w:hint="default" w:ascii="Times New Roman" w:hAnsi="Times New Roman" w:eastAsia="宋体" w:cs="Times New Roman"/>
          <w:color w:val="000000" w:themeColor="text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32"/>
          <w:highlight w:val="none"/>
          <w14:textFill>
            <w14:solidFill>
              <w14:schemeClr w14:val="tx1"/>
            </w14:solidFill>
          </w14:textFill>
        </w:rPr>
        <w:t>四、主要环境影响和保护措施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_Toc17334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default" w:ascii="Times New Roman" w:hAnsi="Times New Roman" w:eastAsia="宋体" w:cs="Times New Roman"/>
          <w:color w:val="000000" w:themeColor="text1"/>
          <w:highlight w:val="none"/>
          <w14:textFill>
            <w14:solidFill>
              <w14:schemeClr w14:val="tx1"/>
            </w14:solidFill>
          </w14:textFill>
        </w:rPr>
        <w:fldChar w:fldCharType="end"/>
      </w:r>
    </w:p>
    <w:p w14:paraId="5B955EDE">
      <w:pPr>
        <w:pStyle w:val="29"/>
        <w:shd w:val="clear"/>
        <w:tabs>
          <w:tab w:val="right" w:leader="dot" w:pos="8844"/>
        </w:tabs>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fldChar w:fldCharType="begin"/>
      </w:r>
      <w:r>
        <w:rPr>
          <w:rFonts w:hint="default" w:ascii="Times New Roman" w:hAnsi="Times New Roman" w:eastAsia="宋体" w:cs="Times New Roman"/>
          <w:color w:val="000000" w:themeColor="text1"/>
          <w:highlight w:val="none"/>
          <w14:textFill>
            <w14:solidFill>
              <w14:schemeClr w14:val="tx1"/>
            </w14:solidFill>
          </w14:textFill>
        </w:rPr>
        <w:instrText xml:space="preserve"> HYPERLINK \l _Toc3574 </w:instrText>
      </w:r>
      <w:r>
        <w:rPr>
          <w:rFonts w:hint="default" w:ascii="Times New Roman" w:hAnsi="Times New Roman" w:eastAsia="宋体" w:cs="Times New Roman"/>
          <w:color w:val="000000" w:themeColor="text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32"/>
          <w:highlight w:val="none"/>
          <w14:textFill>
            <w14:solidFill>
              <w14:schemeClr w14:val="tx1"/>
            </w14:solidFill>
          </w14:textFill>
        </w:rPr>
        <w:t>五、环境保护措施监督检查清单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_Toc3574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rFonts w:hint="default" w:ascii="Times New Roman" w:hAnsi="Times New Roman" w:eastAsia="宋体" w:cs="Times New Roman"/>
          <w:color w:val="000000" w:themeColor="text1"/>
          <w:highlight w:val="none"/>
          <w14:textFill>
            <w14:solidFill>
              <w14:schemeClr w14:val="tx1"/>
            </w14:solidFill>
          </w14:textFill>
        </w:rPr>
        <w:fldChar w:fldCharType="end"/>
      </w:r>
    </w:p>
    <w:p w14:paraId="06BECE9E">
      <w:pPr>
        <w:pStyle w:val="29"/>
        <w:shd w:val="clear"/>
        <w:tabs>
          <w:tab w:val="right" w:leader="dot" w:pos="8844"/>
        </w:tabs>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fldChar w:fldCharType="begin"/>
      </w:r>
      <w:r>
        <w:rPr>
          <w:rFonts w:hint="default" w:ascii="Times New Roman" w:hAnsi="Times New Roman" w:eastAsia="宋体" w:cs="Times New Roman"/>
          <w:color w:val="000000" w:themeColor="text1"/>
          <w:highlight w:val="none"/>
          <w14:textFill>
            <w14:solidFill>
              <w14:schemeClr w14:val="tx1"/>
            </w14:solidFill>
          </w14:textFill>
        </w:rPr>
        <w:instrText xml:space="preserve"> HYPERLINK \l _Toc12785 </w:instrText>
      </w:r>
      <w:r>
        <w:rPr>
          <w:rFonts w:hint="default" w:ascii="Times New Roman" w:hAnsi="Times New Roman" w:eastAsia="宋体" w:cs="Times New Roman"/>
          <w:color w:val="000000" w:themeColor="text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32"/>
          <w:highlight w:val="none"/>
          <w14:textFill>
            <w14:solidFill>
              <w14:schemeClr w14:val="tx1"/>
            </w14:solidFill>
          </w14:textFill>
        </w:rPr>
        <w:t>六、结论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rFonts w:hint="default" w:ascii="Times New Roman" w:hAnsi="Times New Roman" w:eastAsia="宋体" w:cs="Times New Roman"/>
          <w:color w:val="000000" w:themeColor="text1"/>
          <w:highlight w:val="none"/>
          <w14:textFill>
            <w14:solidFill>
              <w14:schemeClr w14:val="tx1"/>
            </w14:solidFill>
          </w14:textFill>
        </w:rPr>
        <w:fldChar w:fldCharType="end"/>
      </w:r>
    </w:p>
    <w:p w14:paraId="298B4CD0">
      <w:pPr>
        <w:pStyle w:val="29"/>
        <w:shd w:val="clear"/>
        <w:tabs>
          <w:tab w:val="right" w:leader="dot" w:pos="8844"/>
        </w:tabs>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fldChar w:fldCharType="begin"/>
      </w:r>
      <w:r>
        <w:rPr>
          <w:rFonts w:hint="default" w:ascii="Times New Roman" w:hAnsi="Times New Roman" w:eastAsia="宋体" w:cs="Times New Roman"/>
          <w:color w:val="000000" w:themeColor="text1"/>
          <w:highlight w:val="none"/>
          <w14:textFill>
            <w14:solidFill>
              <w14:schemeClr w14:val="tx1"/>
            </w14:solidFill>
          </w14:textFill>
        </w:rPr>
        <w:instrText xml:space="preserve"> HYPERLINK \l _Toc18370 </w:instrText>
      </w:r>
      <w:r>
        <w:rPr>
          <w:rFonts w:hint="default" w:ascii="Times New Roman" w:hAnsi="Times New Roman" w:eastAsia="宋体" w:cs="Times New Roman"/>
          <w:color w:val="000000" w:themeColor="text1"/>
          <w:highlight w:val="none"/>
          <w14:textFill>
            <w14:solidFill>
              <w14:schemeClr w14:val="tx1"/>
            </w14:solidFill>
          </w14:textFill>
        </w:rPr>
        <w:fldChar w:fldCharType="separate"/>
      </w:r>
      <w:r>
        <w:rPr>
          <w:rFonts w:hint="default" w:ascii="Times New Roman" w:hAnsi="Times New Roman" w:eastAsia="宋体" w:cs="Times New Roman"/>
          <w:color w:val="000000" w:themeColor="text1"/>
          <w:highlight w:val="none"/>
          <w14:textFill>
            <w14:solidFill>
              <w14:schemeClr w14:val="tx1"/>
            </w14:solidFill>
          </w14:textFill>
        </w:rPr>
        <w:t>建设项目污染物排放量汇总表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_Toc18370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rFonts w:hint="default" w:ascii="Times New Roman" w:hAnsi="Times New Roman" w:eastAsia="宋体" w:cs="Times New Roman"/>
          <w:color w:val="000000" w:themeColor="text1"/>
          <w:highlight w:val="none"/>
          <w14:textFill>
            <w14:solidFill>
              <w14:schemeClr w14:val="tx1"/>
            </w14:solidFill>
          </w14:textFill>
        </w:rPr>
        <w:fldChar w:fldCharType="end"/>
      </w:r>
    </w:p>
    <w:p w14:paraId="08FDFE45">
      <w:pPr>
        <w:pStyle w:val="88"/>
        <w:shd w:val="clear"/>
        <w:tabs>
          <w:tab w:val="right" w:leader="dot" w:pos="8844"/>
        </w:tabs>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fldChar w:fldCharType="end"/>
      </w:r>
    </w:p>
    <w:p w14:paraId="1DFBB16E">
      <w:pPr>
        <w:shd w:val="clear"/>
        <w:rPr>
          <w:rFonts w:hint="default" w:ascii="Times New Roman" w:hAnsi="Times New Roman" w:eastAsia="宋体" w:cs="Times New Roman"/>
          <w:color w:val="000000" w:themeColor="text1"/>
          <w:highlight w:val="none"/>
          <w:lang w:eastAsia="zh-CN"/>
          <w14:textFill>
            <w14:solidFill>
              <w14:schemeClr w14:val="tx1"/>
            </w14:solidFill>
          </w14:textFill>
        </w:rPr>
        <w:sectPr>
          <w:pgSz w:w="11906" w:h="16838"/>
          <w:pgMar w:top="1701" w:right="1531" w:bottom="1701" w:left="1531" w:header="851" w:footer="850" w:gutter="0"/>
          <w:pgNumType w:start="1"/>
          <w:cols w:space="720" w:num="1"/>
          <w:docGrid w:linePitch="312" w:charSpace="0"/>
        </w:sectPr>
      </w:pPr>
    </w:p>
    <w:p w14:paraId="1112EAB5">
      <w:pPr>
        <w:pStyle w:val="3"/>
        <w:shd w:val="clear"/>
        <w:bidi w:val="0"/>
        <w:jc w:val="center"/>
        <w:rPr>
          <w:rFonts w:hint="default" w:ascii="Times New Roman" w:hAnsi="Times New Roman" w:eastAsia="宋体" w:cs="Times New Roman"/>
          <w:color w:val="000000" w:themeColor="text1"/>
          <w:sz w:val="32"/>
          <w:szCs w:val="32"/>
          <w:highlight w:val="none"/>
          <w14:textFill>
            <w14:solidFill>
              <w14:schemeClr w14:val="tx1"/>
            </w14:solidFill>
          </w14:textFill>
        </w:rPr>
      </w:pPr>
      <w:bookmarkStart w:id="0" w:name="_Toc14488"/>
      <w:r>
        <w:rPr>
          <w:rFonts w:hint="default" w:ascii="Times New Roman" w:hAnsi="Times New Roman" w:eastAsia="宋体" w:cs="Times New Roman"/>
          <w:color w:val="000000" w:themeColor="text1"/>
          <w:sz w:val="32"/>
          <w:szCs w:val="32"/>
          <w:highlight w:val="none"/>
          <w14:textFill>
            <w14:solidFill>
              <w14:schemeClr w14:val="tx1"/>
            </w14:solidFill>
          </w14:textFill>
        </w:rPr>
        <w:t>一、建设项目基本情况</w:t>
      </w:r>
      <w:bookmarkEnd w:id="0"/>
    </w:p>
    <w:tbl>
      <w:tblPr>
        <w:tblStyle w:val="33"/>
        <w:tblW w:w="88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331"/>
        <w:gridCol w:w="2893"/>
        <w:gridCol w:w="1887"/>
        <w:gridCol w:w="2759"/>
      </w:tblGrid>
      <w:tr w14:paraId="7E562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31" w:type="dxa"/>
            <w:noWrap w:val="0"/>
            <w:tcMar>
              <w:top w:w="16" w:type="dxa"/>
              <w:left w:w="16" w:type="dxa"/>
              <w:right w:w="16" w:type="dxa"/>
            </w:tcMar>
            <w:vAlign w:val="center"/>
          </w:tcPr>
          <w:p w14:paraId="40CDF24A">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建设项目名称</w:t>
            </w:r>
          </w:p>
        </w:tc>
        <w:tc>
          <w:tcPr>
            <w:tcW w:w="7539" w:type="dxa"/>
            <w:gridSpan w:val="3"/>
            <w:noWrap w:val="0"/>
            <w:vAlign w:val="center"/>
          </w:tcPr>
          <w:p w14:paraId="5AE1C329">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中山快科五金压铸有限公司</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年产</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240吨</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铝合金</w:t>
            </w:r>
            <w:r>
              <w:rPr>
                <w:rFonts w:hint="eastAsia" w:ascii="Times New Roman" w:cs="Times New Roman"/>
                <w:b w:val="0"/>
                <w:bCs w:val="0"/>
                <w:color w:val="000000" w:themeColor="text1"/>
                <w:sz w:val="21"/>
                <w:szCs w:val="21"/>
                <w:lang w:val="en-US" w:eastAsia="zh-CN"/>
                <w14:textFill>
                  <w14:solidFill>
                    <w14:schemeClr w14:val="tx1"/>
                  </w14:solidFill>
                </w14:textFill>
              </w:rPr>
              <w:t>压铸件</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、20吨锌合金</w:t>
            </w:r>
            <w:r>
              <w:rPr>
                <w:rFonts w:hint="eastAsia" w:ascii="Times New Roman" w:cs="Times New Roman"/>
                <w:b w:val="0"/>
                <w:bCs w:val="0"/>
                <w:color w:val="000000" w:themeColor="text1"/>
                <w:sz w:val="21"/>
                <w:szCs w:val="21"/>
                <w:lang w:val="en-US" w:eastAsia="zh-CN"/>
                <w14:textFill>
                  <w14:solidFill>
                    <w14:schemeClr w14:val="tx1"/>
                  </w14:solidFill>
                </w14:textFill>
              </w:rPr>
              <w:t>压铸件和10吨</w:t>
            </w:r>
            <w:r>
              <w:rPr>
                <w:rFonts w:hint="eastAsia" w:cs="Times New Roman"/>
                <w:color w:val="000000" w:themeColor="text1"/>
                <w:sz w:val="21"/>
                <w:szCs w:val="21"/>
                <w:highlight w:val="none"/>
                <w:lang w:val="en-US" w:eastAsia="zh-CN"/>
                <w14:textFill>
                  <w14:solidFill>
                    <w14:schemeClr w14:val="tx1"/>
                  </w14:solidFill>
                </w14:textFill>
              </w:rPr>
              <w:t>模具新建项目</w:t>
            </w:r>
          </w:p>
        </w:tc>
      </w:tr>
      <w:tr w14:paraId="7FC5BF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31" w:type="dxa"/>
            <w:noWrap w:val="0"/>
            <w:tcMar>
              <w:top w:w="16" w:type="dxa"/>
              <w:left w:w="16" w:type="dxa"/>
              <w:right w:w="16" w:type="dxa"/>
            </w:tcMar>
            <w:vAlign w:val="center"/>
          </w:tcPr>
          <w:p w14:paraId="4399384C">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项目代码</w:t>
            </w:r>
          </w:p>
        </w:tc>
        <w:tc>
          <w:tcPr>
            <w:tcW w:w="7539" w:type="dxa"/>
            <w:gridSpan w:val="3"/>
            <w:noWrap w:val="0"/>
            <w:vAlign w:val="center"/>
          </w:tcPr>
          <w:p w14:paraId="795959D1">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74624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31" w:type="dxa"/>
            <w:noWrap w:val="0"/>
            <w:tcMar>
              <w:top w:w="16" w:type="dxa"/>
              <w:left w:w="16" w:type="dxa"/>
              <w:right w:w="16" w:type="dxa"/>
            </w:tcMar>
            <w:vAlign w:val="center"/>
          </w:tcPr>
          <w:p w14:paraId="4A6169B9">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建设单位联系人</w:t>
            </w:r>
          </w:p>
        </w:tc>
        <w:tc>
          <w:tcPr>
            <w:tcW w:w="2893" w:type="dxa"/>
            <w:noWrap w:val="0"/>
            <w:vAlign w:val="center"/>
          </w:tcPr>
          <w:p w14:paraId="4DB974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bookmarkStart w:id="23" w:name="_GoBack"/>
            <w:bookmarkEnd w:id="23"/>
          </w:p>
        </w:tc>
        <w:tc>
          <w:tcPr>
            <w:tcW w:w="1887" w:type="dxa"/>
            <w:noWrap w:val="0"/>
            <w:vAlign w:val="center"/>
          </w:tcPr>
          <w:p w14:paraId="3B340F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zCs w:val="21"/>
                <w:highlight w:val="none"/>
                <w14:textFill>
                  <w14:solidFill>
                    <w14:schemeClr w14:val="tx1"/>
                  </w14:solidFill>
                </w14:textFill>
              </w:rPr>
              <w:t>联系方式</w:t>
            </w:r>
          </w:p>
        </w:tc>
        <w:tc>
          <w:tcPr>
            <w:tcW w:w="2759" w:type="dxa"/>
            <w:noWrap w:val="0"/>
            <w:vAlign w:val="center"/>
          </w:tcPr>
          <w:p w14:paraId="10E929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650A9E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31" w:type="dxa"/>
            <w:noWrap w:val="0"/>
            <w:tcMar>
              <w:top w:w="16" w:type="dxa"/>
              <w:left w:w="16" w:type="dxa"/>
              <w:right w:w="16" w:type="dxa"/>
            </w:tcMar>
            <w:vAlign w:val="center"/>
          </w:tcPr>
          <w:p w14:paraId="226FE1FC">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建设地点</w:t>
            </w:r>
          </w:p>
        </w:tc>
        <w:tc>
          <w:tcPr>
            <w:tcW w:w="7539" w:type="dxa"/>
            <w:gridSpan w:val="3"/>
            <w:noWrap w:val="0"/>
            <w:vAlign w:val="center"/>
          </w:tcPr>
          <w:p w14:paraId="6DC0ABDA">
            <w:pPr>
              <w:shd w:val="clear"/>
              <w:bidi w:val="0"/>
              <w:spacing w:line="240" w:lineRule="auto"/>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宋体" w:hAnsi="Times New Roman" w:eastAsia="宋体" w:cs="宋体"/>
                <w:b w:val="0"/>
                <w:bCs w:val="0"/>
                <w:color w:val="000000" w:themeColor="text1"/>
                <w:sz w:val="21"/>
                <w:szCs w:val="21"/>
                <w:lang w:val="en-US" w:eastAsia="zh-CN"/>
                <w14:textFill>
                  <w14:solidFill>
                    <w14:schemeClr w14:val="tx1"/>
                  </w14:solidFill>
                </w14:textFill>
              </w:rPr>
              <w:t>中山市南朗街道第六工业区逸仙公路222号</w:t>
            </w:r>
            <w:r>
              <w:rPr>
                <w:rFonts w:hint="eastAsia" w:cs="宋体"/>
                <w:b w:val="0"/>
                <w:bCs w:val="0"/>
                <w:color w:val="000000" w:themeColor="text1"/>
                <w:sz w:val="21"/>
                <w:szCs w:val="21"/>
                <w:lang w:val="en-US" w:eastAsia="zh-CN"/>
                <w14:textFill>
                  <w14:solidFill>
                    <w14:schemeClr w14:val="tx1"/>
                  </w14:solidFill>
                </w14:textFill>
              </w:rPr>
              <w:t>B栋C区</w:t>
            </w:r>
          </w:p>
        </w:tc>
      </w:tr>
      <w:tr w14:paraId="122950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31" w:type="dxa"/>
            <w:noWrap w:val="0"/>
            <w:tcMar>
              <w:top w:w="16" w:type="dxa"/>
              <w:left w:w="16" w:type="dxa"/>
              <w:right w:w="16" w:type="dxa"/>
            </w:tcMar>
            <w:vAlign w:val="center"/>
          </w:tcPr>
          <w:p w14:paraId="3ED6B228">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地理坐标</w:t>
            </w:r>
          </w:p>
        </w:tc>
        <w:tc>
          <w:tcPr>
            <w:tcW w:w="7539" w:type="dxa"/>
            <w:gridSpan w:val="3"/>
            <w:noWrap w:val="0"/>
            <w:vAlign w:val="center"/>
          </w:tcPr>
          <w:p w14:paraId="45B79A7A">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E113°29′3</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3.072</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N22°31′</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9.081</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w:t>
            </w:r>
          </w:p>
        </w:tc>
      </w:tr>
      <w:tr w14:paraId="38A365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73" w:hRule="atLeast"/>
          <w:jc w:val="center"/>
        </w:trPr>
        <w:tc>
          <w:tcPr>
            <w:tcW w:w="1331" w:type="dxa"/>
            <w:noWrap w:val="0"/>
            <w:tcMar>
              <w:top w:w="16" w:type="dxa"/>
              <w:left w:w="16" w:type="dxa"/>
              <w:right w:w="16" w:type="dxa"/>
            </w:tcMar>
            <w:vAlign w:val="center"/>
          </w:tcPr>
          <w:p w14:paraId="23659323">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国民经济</w:t>
            </w:r>
          </w:p>
          <w:p w14:paraId="0D5776A4">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行业类别</w:t>
            </w:r>
          </w:p>
        </w:tc>
        <w:tc>
          <w:tcPr>
            <w:tcW w:w="2893" w:type="dxa"/>
            <w:noWrap w:val="0"/>
            <w:vAlign w:val="center"/>
          </w:tcPr>
          <w:p w14:paraId="4D6ABD50">
            <w:pPr>
              <w:pStyle w:val="48"/>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C3392有色金属铸造</w:t>
            </w:r>
          </w:p>
          <w:p w14:paraId="593DDEEE">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C3879灯用电器附件及其他照明器具制造</w:t>
            </w:r>
          </w:p>
          <w:p w14:paraId="290AE79B">
            <w:pPr>
              <w:keepNext w:val="0"/>
              <w:keepLines w:val="0"/>
              <w:widowControl/>
              <w:suppressLineNumbers w:val="0"/>
              <w:jc w:val="cente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C3670汽车零部件及配件制造</w:t>
            </w:r>
          </w:p>
          <w:p w14:paraId="4C8AB356">
            <w:pPr>
              <w:pStyle w:val="48"/>
              <w:rPr>
                <w:rFonts w:hint="default"/>
                <w:color w:val="000000" w:themeColor="text1"/>
                <w:lang w:val="en-US" w:eastAsia="zh-CN"/>
                <w14:textFill>
                  <w14:solidFill>
                    <w14:schemeClr w14:val="tx1"/>
                  </w14:solidFill>
                </w14:textFill>
              </w:rPr>
            </w:pPr>
            <w:r>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t>C3525模具制造</w:t>
            </w:r>
          </w:p>
        </w:tc>
        <w:tc>
          <w:tcPr>
            <w:tcW w:w="1887" w:type="dxa"/>
            <w:noWrap w:val="0"/>
            <w:vAlign w:val="center"/>
          </w:tcPr>
          <w:p w14:paraId="227A2680">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bookmarkStart w:id="1" w:name="_Hlk49843745"/>
            <w:r>
              <w:rPr>
                <w:rFonts w:hint="default" w:ascii="Times New Roman" w:hAnsi="Times New Roman" w:eastAsia="宋体" w:cs="Times New Roman"/>
                <w:color w:val="000000" w:themeColor="text1"/>
                <w:sz w:val="21"/>
                <w:szCs w:val="21"/>
                <w:highlight w:val="none"/>
                <w14:textFill>
                  <w14:solidFill>
                    <w14:schemeClr w14:val="tx1"/>
                  </w14:solidFill>
                </w14:textFill>
              </w:rPr>
              <w:t>建设项目</w:t>
            </w:r>
          </w:p>
          <w:p w14:paraId="767D6C06">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行业类别</w:t>
            </w:r>
            <w:bookmarkEnd w:id="1"/>
          </w:p>
        </w:tc>
        <w:tc>
          <w:tcPr>
            <w:tcW w:w="2759" w:type="dxa"/>
            <w:noWrap w:val="0"/>
            <w:vAlign w:val="center"/>
          </w:tcPr>
          <w:p w14:paraId="04D4EDD2">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三十、金属制品业33--68.铸造及其他金属制品制造--其他（仅分割、焊接、组装的除外）</w:t>
            </w:r>
          </w:p>
          <w:p w14:paraId="7E48B690">
            <w:pPr>
              <w:keepNext w:val="0"/>
              <w:keepLines w:val="0"/>
              <w:widowControl/>
              <w:suppressLineNumbers w:val="0"/>
              <w:jc w:val="left"/>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三十五、电气机械和器材制造业38-77照明器具制造387-其他（仅分割、焊接、组装的除外；年用非溶剂型低VOCs含量涂料10吨以下的除外）</w:t>
            </w:r>
          </w:p>
          <w:p w14:paraId="0354123B">
            <w:pPr>
              <w:keepNext w:val="0"/>
              <w:keepLines w:val="0"/>
              <w:widowControl/>
              <w:suppressLineNumbers w:val="0"/>
              <w:jc w:val="left"/>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三十三、汽车制造业36--71汽车零部件及配件制造367--</w:t>
            </w: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其他（仅分割、焊接、组装的除外；年用非溶剂型低VOCs含量涂料10吨以下的除外）</w:t>
            </w:r>
          </w:p>
          <w:p w14:paraId="67B15EBA">
            <w:pPr>
              <w:keepNext w:val="0"/>
              <w:keepLines w:val="0"/>
              <w:widowControl/>
              <w:suppressLineNumbers w:val="0"/>
              <w:jc w:val="left"/>
              <w:rPr>
                <w:rFonts w:hint="default"/>
                <w:color w:val="000000" w:themeColor="text1"/>
                <w:lang w:val="en-US" w:eastAsia="zh-CN"/>
                <w14:textFill>
                  <w14:solidFill>
                    <w14:schemeClr w14:val="tx1"/>
                  </w14:solidFill>
                </w14:textFill>
              </w:rPr>
            </w:pPr>
            <w:r>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t>三十二、专用设备制造35</w:t>
            </w:r>
            <w:r>
              <w:rPr>
                <w:rFonts w:hint="eastAsia" w:ascii="Times New Roman" w:hAnsi="Times New Roman" w:eastAsia="宋体"/>
                <w:color w:val="000000" w:themeColor="text1"/>
                <w:szCs w:val="21"/>
                <w:highlight w:val="none"/>
                <w:lang w:eastAsia="zh-CN"/>
                <w14:textFill>
                  <w14:solidFill>
                    <w14:schemeClr w14:val="tx1"/>
                  </w14:solidFill>
                </w14:textFill>
              </w:rPr>
              <w:t>－</w:t>
            </w:r>
            <w:r>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t>70、化工、木材、非金属加工专用设备制造</w:t>
            </w:r>
            <w:r>
              <w:rPr>
                <w:rFonts w:hint="eastAsia" w:ascii="Times New Roman" w:cstheme="minorBidi"/>
                <w:color w:val="000000" w:themeColor="text1"/>
                <w:kern w:val="2"/>
                <w:sz w:val="21"/>
                <w:szCs w:val="21"/>
                <w:highlight w:val="none"/>
                <w:lang w:val="en-US" w:eastAsia="zh-CN" w:bidi="ar-SA"/>
                <w14:textFill>
                  <w14:solidFill>
                    <w14:schemeClr w14:val="tx1"/>
                  </w14:solidFill>
                </w14:textFill>
              </w:rPr>
              <w:t>352</w:t>
            </w:r>
            <w:r>
              <w:rPr>
                <w:rFonts w:hint="eastAsia" w:ascii="Times New Roman" w:hAnsi="Times New Roman" w:eastAsia="宋体"/>
                <w:color w:val="000000" w:themeColor="text1"/>
                <w:szCs w:val="21"/>
                <w:highlight w:val="none"/>
                <w:lang w:eastAsia="zh-CN"/>
                <w14:textFill>
                  <w14:solidFill>
                    <w14:schemeClr w14:val="tx1"/>
                  </w14:solidFill>
                </w14:textFill>
              </w:rPr>
              <w:t>－</w:t>
            </w:r>
            <w:r>
              <w:rPr>
                <w:rFonts w:hint="eastAsia" w:ascii="Times New Roman" w:cstheme="minorBidi"/>
                <w:color w:val="000000" w:themeColor="text1"/>
                <w:kern w:val="2"/>
                <w:sz w:val="21"/>
                <w:szCs w:val="21"/>
                <w:highlight w:val="none"/>
                <w:lang w:val="en-US" w:eastAsia="zh-CN" w:bidi="ar-SA"/>
                <w14:textFill>
                  <w14:solidFill>
                    <w14:schemeClr w14:val="tx1"/>
                  </w14:solidFill>
                </w14:textFill>
              </w:rPr>
              <w:t>其他</w:t>
            </w:r>
            <w:r>
              <w:rPr>
                <w:rFonts w:hint="eastAsia" w:ascii="宋体" w:hAnsi="宋体" w:eastAsia="宋体" w:cs="宋体"/>
                <w:color w:val="000000" w:themeColor="text1"/>
                <w:kern w:val="0"/>
                <w:sz w:val="20"/>
                <w:szCs w:val="20"/>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仅分割、焊接、组装的除外；年用非溶剂型低VOCs含量涂料10吨以下的除外）</w:t>
            </w:r>
          </w:p>
        </w:tc>
      </w:tr>
      <w:tr w14:paraId="0D94A3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331" w:type="dxa"/>
            <w:noWrap w:val="0"/>
            <w:tcMar>
              <w:top w:w="16" w:type="dxa"/>
              <w:left w:w="16" w:type="dxa"/>
              <w:right w:w="16" w:type="dxa"/>
            </w:tcMar>
            <w:vAlign w:val="center"/>
          </w:tcPr>
          <w:p w14:paraId="3DA98D61">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建设性质</w:t>
            </w:r>
          </w:p>
        </w:tc>
        <w:tc>
          <w:tcPr>
            <w:tcW w:w="2893" w:type="dxa"/>
            <w:noWrap w:val="0"/>
            <w:vAlign w:val="center"/>
          </w:tcPr>
          <w:p w14:paraId="43160FB9">
            <w:pPr>
              <w:shd w:val="clear"/>
              <w:bidi w:val="0"/>
              <w:spacing w:line="240" w:lineRule="auto"/>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新建（迁建）</w:t>
            </w:r>
          </w:p>
          <w:p w14:paraId="46DAEF22">
            <w:pPr>
              <w:shd w:val="clear"/>
              <w:bidi w:val="0"/>
              <w:spacing w:line="240" w:lineRule="auto"/>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改建</w:t>
            </w:r>
          </w:p>
          <w:p w14:paraId="01F23845">
            <w:pPr>
              <w:shd w:val="clear"/>
              <w:bidi w:val="0"/>
              <w:spacing w:line="240" w:lineRule="auto"/>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扩建</w:t>
            </w:r>
          </w:p>
          <w:p w14:paraId="06050FBD">
            <w:pPr>
              <w:shd w:val="clear"/>
              <w:bidi w:val="0"/>
              <w:spacing w:line="240" w:lineRule="auto"/>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技术改造</w:t>
            </w:r>
          </w:p>
        </w:tc>
        <w:tc>
          <w:tcPr>
            <w:tcW w:w="1887" w:type="dxa"/>
            <w:noWrap w:val="0"/>
            <w:vAlign w:val="center"/>
          </w:tcPr>
          <w:p w14:paraId="7A1DF6AE">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建设项目</w:t>
            </w:r>
          </w:p>
          <w:p w14:paraId="589D7066">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申报情形</w:t>
            </w:r>
          </w:p>
        </w:tc>
        <w:tc>
          <w:tcPr>
            <w:tcW w:w="2759" w:type="dxa"/>
            <w:noWrap w:val="0"/>
            <w:vAlign w:val="center"/>
          </w:tcPr>
          <w:p w14:paraId="7AFBC9AA">
            <w:pPr>
              <w:shd w:val="clear"/>
              <w:bidi w:val="0"/>
              <w:spacing w:line="240" w:lineRule="auto"/>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2" w:char="0052"/>
            </w:r>
            <w:r>
              <w:rPr>
                <w:rFonts w:hint="default" w:ascii="Times New Roman" w:hAnsi="Times New Roman" w:eastAsia="宋体" w:cs="Times New Roman"/>
                <w:color w:val="000000" w:themeColor="text1"/>
                <w:sz w:val="21"/>
                <w:szCs w:val="21"/>
                <w:highlight w:val="none"/>
                <w14:textFill>
                  <w14:solidFill>
                    <w14:schemeClr w14:val="tx1"/>
                  </w14:solidFill>
                </w14:textFill>
              </w:rPr>
              <w:t>首次申报项目</w:t>
            </w:r>
          </w:p>
          <w:p w14:paraId="731C53B3">
            <w:pPr>
              <w:shd w:val="clear"/>
              <w:bidi w:val="0"/>
              <w:spacing w:line="240" w:lineRule="auto"/>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不予批准后再次申报项目</w:t>
            </w:r>
          </w:p>
          <w:p w14:paraId="692B953B">
            <w:pPr>
              <w:shd w:val="clear"/>
              <w:bidi w:val="0"/>
              <w:spacing w:line="240" w:lineRule="auto"/>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eastAsia="宋体" w:cs="Times New Roman"/>
                <w:color w:val="000000" w:themeColor="text1"/>
                <w:sz w:val="21"/>
                <w:szCs w:val="21"/>
                <w:highlight w:val="none"/>
                <w14:textFill>
                  <w14:solidFill>
                    <w14:schemeClr w14:val="tx1"/>
                  </w14:solidFill>
                </w14:textFill>
              </w:rPr>
              <w:t>超五年重新审核项目</w:t>
            </w:r>
          </w:p>
          <w:p w14:paraId="3EFC092B">
            <w:pPr>
              <w:shd w:val="clear"/>
              <w:bidi w:val="0"/>
              <w:spacing w:line="240" w:lineRule="auto"/>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重大变动重新报批项目</w:t>
            </w:r>
          </w:p>
        </w:tc>
      </w:tr>
      <w:tr w14:paraId="52BEB6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331" w:type="dxa"/>
            <w:noWrap w:val="0"/>
            <w:tcMar>
              <w:top w:w="16" w:type="dxa"/>
              <w:left w:w="16" w:type="dxa"/>
              <w:right w:w="16" w:type="dxa"/>
            </w:tcMar>
            <w:vAlign w:val="center"/>
          </w:tcPr>
          <w:p w14:paraId="67900840">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项目审批（核准/</w:t>
            </w:r>
          </w:p>
          <w:p w14:paraId="4970CD56">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备案）部门（选填）</w:t>
            </w:r>
          </w:p>
        </w:tc>
        <w:tc>
          <w:tcPr>
            <w:tcW w:w="2893" w:type="dxa"/>
            <w:noWrap w:val="0"/>
            <w:vAlign w:val="center"/>
          </w:tcPr>
          <w:p w14:paraId="666FEB38">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887" w:type="dxa"/>
            <w:noWrap w:val="0"/>
            <w:vAlign w:val="center"/>
          </w:tcPr>
          <w:p w14:paraId="11874ABC">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项目审批（核准/</w:t>
            </w:r>
          </w:p>
          <w:p w14:paraId="6C4C09CD">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备案）文号（选填）</w:t>
            </w:r>
          </w:p>
        </w:tc>
        <w:tc>
          <w:tcPr>
            <w:tcW w:w="2759" w:type="dxa"/>
            <w:noWrap w:val="0"/>
            <w:vAlign w:val="center"/>
          </w:tcPr>
          <w:p w14:paraId="18C98DBB">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46B327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31" w:type="dxa"/>
            <w:noWrap w:val="0"/>
            <w:tcMar>
              <w:top w:w="16" w:type="dxa"/>
              <w:left w:w="16" w:type="dxa"/>
              <w:right w:w="16" w:type="dxa"/>
            </w:tcMar>
            <w:vAlign w:val="center"/>
          </w:tcPr>
          <w:p w14:paraId="64CB27DE">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总投资（万元）</w:t>
            </w:r>
          </w:p>
        </w:tc>
        <w:tc>
          <w:tcPr>
            <w:tcW w:w="2893" w:type="dxa"/>
            <w:noWrap w:val="0"/>
            <w:vAlign w:val="center"/>
          </w:tcPr>
          <w:p w14:paraId="6FC48B15">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300</w:t>
            </w:r>
          </w:p>
        </w:tc>
        <w:tc>
          <w:tcPr>
            <w:tcW w:w="1887" w:type="dxa"/>
            <w:noWrap w:val="0"/>
            <w:tcMar>
              <w:top w:w="16" w:type="dxa"/>
              <w:left w:w="16" w:type="dxa"/>
              <w:right w:w="16" w:type="dxa"/>
            </w:tcMar>
            <w:vAlign w:val="center"/>
          </w:tcPr>
          <w:p w14:paraId="2CA95ECD">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环保投资（万元）</w:t>
            </w:r>
          </w:p>
        </w:tc>
        <w:tc>
          <w:tcPr>
            <w:tcW w:w="2759" w:type="dxa"/>
            <w:noWrap w:val="0"/>
            <w:vAlign w:val="center"/>
          </w:tcPr>
          <w:p w14:paraId="5AFEDD05">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r>
      <w:tr w14:paraId="76F72E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31" w:type="dxa"/>
            <w:noWrap w:val="0"/>
            <w:tcMar>
              <w:top w:w="16" w:type="dxa"/>
              <w:left w:w="16" w:type="dxa"/>
              <w:right w:w="16" w:type="dxa"/>
            </w:tcMar>
            <w:vAlign w:val="center"/>
          </w:tcPr>
          <w:p w14:paraId="5FE8272F">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环保投资占比（%）</w:t>
            </w:r>
          </w:p>
        </w:tc>
        <w:tc>
          <w:tcPr>
            <w:tcW w:w="2893" w:type="dxa"/>
            <w:noWrap w:val="0"/>
            <w:vAlign w:val="center"/>
          </w:tcPr>
          <w:p w14:paraId="5616738E">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1887" w:type="dxa"/>
            <w:noWrap w:val="0"/>
            <w:tcMar>
              <w:top w:w="16" w:type="dxa"/>
              <w:left w:w="16" w:type="dxa"/>
              <w:right w:w="16" w:type="dxa"/>
            </w:tcMar>
            <w:vAlign w:val="center"/>
          </w:tcPr>
          <w:p w14:paraId="3C95A1E7">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施工工期</w:t>
            </w:r>
          </w:p>
        </w:tc>
        <w:tc>
          <w:tcPr>
            <w:tcW w:w="2759" w:type="dxa"/>
            <w:noWrap w:val="0"/>
            <w:vAlign w:val="center"/>
          </w:tcPr>
          <w:p w14:paraId="19CB8D37">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0832A4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31" w:type="dxa"/>
            <w:noWrap w:val="0"/>
            <w:tcMar>
              <w:top w:w="16" w:type="dxa"/>
              <w:left w:w="16" w:type="dxa"/>
              <w:right w:w="16" w:type="dxa"/>
            </w:tcMar>
            <w:vAlign w:val="center"/>
          </w:tcPr>
          <w:p w14:paraId="54669A6F">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是否开工建设</w:t>
            </w:r>
          </w:p>
        </w:tc>
        <w:tc>
          <w:tcPr>
            <w:tcW w:w="2893" w:type="dxa"/>
            <w:noWrap w:val="0"/>
            <w:vAlign w:val="center"/>
          </w:tcPr>
          <w:p w14:paraId="21B84C7E">
            <w:pPr>
              <w:shd w:val="clear"/>
              <w:bidi w:val="0"/>
              <w:spacing w:line="240" w:lineRule="auto"/>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2" w:char="0052"/>
            </w:r>
            <w:r>
              <w:rPr>
                <w:rFonts w:hint="default" w:ascii="Times New Roman" w:hAnsi="Times New Roman" w:eastAsia="宋体" w:cs="Times New Roman"/>
                <w:color w:val="000000" w:themeColor="text1"/>
                <w:sz w:val="21"/>
                <w:szCs w:val="21"/>
                <w:highlight w:val="none"/>
                <w14:textFill>
                  <w14:solidFill>
                    <w14:schemeClr w14:val="tx1"/>
                  </w14:solidFill>
                </w14:textFill>
              </w:rPr>
              <w:t>否</w:t>
            </w:r>
          </w:p>
          <w:p w14:paraId="0D6D2CB7">
            <w:pPr>
              <w:shd w:val="clear"/>
              <w:bidi w:val="0"/>
              <w:spacing w:line="240" w:lineRule="auto"/>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eastAsia="宋体" w:cs="Times New Roman"/>
                <w:color w:val="000000" w:themeColor="text1"/>
                <w:sz w:val="21"/>
                <w:szCs w:val="21"/>
                <w:highlight w:val="none"/>
                <w14:textFill>
                  <w14:solidFill>
                    <w14:schemeClr w14:val="tx1"/>
                  </w14:solidFill>
                </w14:textFill>
              </w:rPr>
              <w:t>是：</w:t>
            </w:r>
          </w:p>
        </w:tc>
        <w:tc>
          <w:tcPr>
            <w:tcW w:w="1887" w:type="dxa"/>
            <w:noWrap w:val="0"/>
            <w:tcMar>
              <w:top w:w="16" w:type="dxa"/>
              <w:left w:w="16" w:type="dxa"/>
              <w:right w:w="16" w:type="dxa"/>
            </w:tcMar>
            <w:vAlign w:val="center"/>
          </w:tcPr>
          <w:p w14:paraId="3A4D5C06">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用地（</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w:t>
            </w:r>
            <w:r>
              <w:rPr>
                <w:rFonts w:hint="default" w:ascii="Times New Roman" w:hAnsi="Times New Roman" w:eastAsia="宋体" w:cs="Times New Roman"/>
                <w:color w:val="000000" w:themeColor="text1"/>
                <w:sz w:val="21"/>
                <w:szCs w:val="21"/>
                <w:highlight w:val="none"/>
                <w14:textFill>
                  <w14:solidFill>
                    <w14:schemeClr w14:val="tx1"/>
                  </w14:solidFill>
                </w14:textFill>
              </w:rPr>
              <w:t>用海）</w:t>
            </w:r>
          </w:p>
          <w:p w14:paraId="33558A55">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面积（</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2759" w:type="dxa"/>
            <w:noWrap w:val="0"/>
            <w:vAlign w:val="center"/>
          </w:tcPr>
          <w:p w14:paraId="67AF4BE8">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1200</w:t>
            </w:r>
          </w:p>
        </w:tc>
      </w:tr>
      <w:tr w14:paraId="660DF7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31" w:type="dxa"/>
            <w:noWrap w:val="0"/>
            <w:vAlign w:val="center"/>
          </w:tcPr>
          <w:p w14:paraId="357AC7FA">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专项评价设置情况</w:t>
            </w:r>
          </w:p>
        </w:tc>
        <w:tc>
          <w:tcPr>
            <w:tcW w:w="7539" w:type="dxa"/>
            <w:gridSpan w:val="3"/>
            <w:noWrap w:val="0"/>
            <w:vAlign w:val="center"/>
          </w:tcPr>
          <w:p w14:paraId="6CFFC1E7">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w:t>
            </w:r>
          </w:p>
        </w:tc>
      </w:tr>
      <w:tr w14:paraId="098629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1331" w:type="dxa"/>
            <w:noWrap w:val="0"/>
            <w:vAlign w:val="center"/>
          </w:tcPr>
          <w:p w14:paraId="388B4C37">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规划情况</w:t>
            </w:r>
          </w:p>
        </w:tc>
        <w:tc>
          <w:tcPr>
            <w:tcW w:w="7539" w:type="dxa"/>
            <w:gridSpan w:val="3"/>
            <w:noWrap w:val="0"/>
            <w:vAlign w:val="center"/>
          </w:tcPr>
          <w:p w14:paraId="2462318F">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w:t>
            </w:r>
          </w:p>
        </w:tc>
      </w:tr>
      <w:tr w14:paraId="33F039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1331" w:type="dxa"/>
            <w:noWrap w:val="0"/>
            <w:vAlign w:val="center"/>
          </w:tcPr>
          <w:p w14:paraId="6D5D0CE8">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规划环境影响评价情况</w:t>
            </w:r>
          </w:p>
        </w:tc>
        <w:tc>
          <w:tcPr>
            <w:tcW w:w="7539" w:type="dxa"/>
            <w:gridSpan w:val="3"/>
            <w:noWrap w:val="0"/>
            <w:vAlign w:val="center"/>
          </w:tcPr>
          <w:p w14:paraId="6CF708EB">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w:t>
            </w:r>
          </w:p>
        </w:tc>
      </w:tr>
      <w:tr w14:paraId="65340A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9" w:hRule="atLeast"/>
          <w:jc w:val="center"/>
        </w:trPr>
        <w:tc>
          <w:tcPr>
            <w:tcW w:w="1331" w:type="dxa"/>
            <w:noWrap w:val="0"/>
            <w:vAlign w:val="center"/>
          </w:tcPr>
          <w:p w14:paraId="2CCDB0BA">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规划及规划环境影响评价符合性分析</w:t>
            </w:r>
          </w:p>
        </w:tc>
        <w:tc>
          <w:tcPr>
            <w:tcW w:w="7539" w:type="dxa"/>
            <w:gridSpan w:val="3"/>
            <w:noWrap w:val="0"/>
            <w:vAlign w:val="center"/>
          </w:tcPr>
          <w:p w14:paraId="6E711243">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w:t>
            </w:r>
          </w:p>
        </w:tc>
      </w:tr>
    </w:tbl>
    <w:p w14:paraId="4AFC0CB6">
      <w:pPr>
        <w:shd w:val="clear"/>
        <w:spacing w:line="360" w:lineRule="auto"/>
        <w:jc w:val="center"/>
        <w:outlineLvl w:val="0"/>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sectPr>
          <w:footerReference r:id="rId5" w:type="default"/>
          <w:pgSz w:w="11906" w:h="16839"/>
          <w:pgMar w:top="1431" w:right="1418" w:bottom="1185" w:left="1482" w:header="0" w:footer="922" w:gutter="0"/>
          <w:pgNumType w:fmt="decimal" w:start="1"/>
          <w:cols w:space="720" w:num="1"/>
        </w:sectPr>
      </w:pPr>
      <w:bookmarkStart w:id="2" w:name="_Toc8255"/>
      <w:bookmarkStart w:id="3" w:name="_Toc22326"/>
      <w:bookmarkStart w:id="4" w:name="_Toc14019"/>
    </w:p>
    <w:tbl>
      <w:tblPr>
        <w:tblStyle w:val="34"/>
        <w:tblW w:w="8996" w:type="dxa"/>
        <w:tblInd w:w="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8601"/>
      </w:tblGrid>
      <w:tr w14:paraId="2D1E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5" w:type="dxa"/>
            <w:noWrap w:val="0"/>
            <w:vAlign w:val="center"/>
          </w:tcPr>
          <w:p w14:paraId="06529C83">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5" w:name="_Toc15559"/>
            <w:r>
              <w:rPr>
                <w:rFonts w:hint="default" w:ascii="Times New Roman" w:hAnsi="Times New Roman" w:eastAsia="宋体" w:cs="Times New Roman"/>
                <w:color w:val="000000" w:themeColor="text1"/>
                <w:highlight w:val="none"/>
                <w:lang w:val="en-US" w:eastAsia="zh-CN"/>
                <w14:textFill>
                  <w14:solidFill>
                    <w14:schemeClr w14:val="tx1"/>
                  </w14:solidFill>
                </w14:textFill>
              </w:rPr>
              <w:t>其他符合性分析</w:t>
            </w:r>
            <w:bookmarkEnd w:id="2"/>
            <w:bookmarkEnd w:id="3"/>
            <w:bookmarkEnd w:id="4"/>
            <w:bookmarkEnd w:id="5"/>
          </w:p>
        </w:tc>
        <w:tc>
          <w:tcPr>
            <w:tcW w:w="8601" w:type="dxa"/>
            <w:noWrap w:val="0"/>
            <w:vAlign w:val="top"/>
          </w:tcPr>
          <w:p w14:paraId="26F8563A">
            <w:pPr>
              <w:keepNext/>
              <w:keepLines/>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jc w:val="center"/>
              <w:textAlignment w:val="baseline"/>
              <w:outlineLvl w:val="9"/>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表1相符性分析一览表</w:t>
            </w:r>
          </w:p>
          <w:tbl>
            <w:tblPr>
              <w:tblStyle w:val="3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6"/>
              <w:gridCol w:w="1432"/>
              <w:gridCol w:w="2863"/>
              <w:gridCol w:w="1905"/>
              <w:gridCol w:w="1065"/>
              <w:gridCol w:w="664"/>
            </w:tblGrid>
            <w:tr w14:paraId="49684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2" w:hRule="atLeast"/>
              </w:trPr>
              <w:tc>
                <w:tcPr>
                  <w:tcW w:w="266" w:type="pct"/>
                  <w:noWrap w:val="0"/>
                  <w:vAlign w:val="center"/>
                </w:tcPr>
                <w:p w14:paraId="696BA4A6">
                  <w:pPr>
                    <w:shd w:val="clear"/>
                    <w:bidi w:val="0"/>
                    <w:spacing w:line="240" w:lineRule="auto"/>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序号</w:t>
                  </w:r>
                </w:p>
              </w:tc>
              <w:tc>
                <w:tcPr>
                  <w:tcW w:w="854" w:type="pct"/>
                  <w:noWrap w:val="0"/>
                  <w:vAlign w:val="center"/>
                </w:tcPr>
                <w:p w14:paraId="4BC05336">
                  <w:pPr>
                    <w:shd w:val="clear"/>
                    <w:bidi w:val="0"/>
                    <w:spacing w:line="240" w:lineRule="auto"/>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产业、准入政策名称</w:t>
                  </w:r>
                </w:p>
              </w:tc>
              <w:tc>
                <w:tcPr>
                  <w:tcW w:w="1709" w:type="pct"/>
                  <w:noWrap w:val="0"/>
                  <w:vAlign w:val="center"/>
                </w:tcPr>
                <w:p w14:paraId="43AC5DF0">
                  <w:pPr>
                    <w:shd w:val="clear"/>
                    <w:bidi w:val="0"/>
                    <w:spacing w:line="240" w:lineRule="auto"/>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涉及条款</w:t>
                  </w:r>
                </w:p>
              </w:tc>
              <w:tc>
                <w:tcPr>
                  <w:tcW w:w="1773" w:type="pct"/>
                  <w:gridSpan w:val="2"/>
                  <w:noWrap w:val="0"/>
                  <w:vAlign w:val="center"/>
                </w:tcPr>
                <w:p w14:paraId="4408EDCB">
                  <w:pPr>
                    <w:shd w:val="clear"/>
                    <w:bidi w:val="0"/>
                    <w:spacing w:line="240" w:lineRule="auto"/>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项目建设情况</w:t>
                  </w:r>
                </w:p>
              </w:tc>
              <w:tc>
                <w:tcPr>
                  <w:tcW w:w="396" w:type="pct"/>
                  <w:noWrap w:val="0"/>
                  <w:vAlign w:val="center"/>
                </w:tcPr>
                <w:p w14:paraId="5CD19A0E">
                  <w:pPr>
                    <w:shd w:val="clear"/>
                    <w:bidi w:val="0"/>
                    <w:spacing w:line="240" w:lineRule="auto"/>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相符性判定</w:t>
                  </w:r>
                </w:p>
              </w:tc>
            </w:tr>
            <w:tr w14:paraId="121C0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1" w:hRule="atLeast"/>
              </w:trPr>
              <w:tc>
                <w:tcPr>
                  <w:tcW w:w="266" w:type="pct"/>
                  <w:vMerge w:val="restart"/>
                  <w:noWrap w:val="0"/>
                  <w:vAlign w:val="center"/>
                </w:tcPr>
                <w:p w14:paraId="4F909E9C">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w:t>
                  </w:r>
                </w:p>
              </w:tc>
              <w:tc>
                <w:tcPr>
                  <w:tcW w:w="854" w:type="pct"/>
                  <w:vMerge w:val="restart"/>
                  <w:noWrap w:val="0"/>
                  <w:vAlign w:val="center"/>
                </w:tcPr>
                <w:p w14:paraId="1E9B82F2">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fldChar w:fldCharType="begin"/>
                  </w:r>
                  <w:r>
                    <w:rPr>
                      <w:rFonts w:hint="default" w:ascii="Times New Roman" w:hAnsi="Times New Roman" w:eastAsia="宋体" w:cs="Times New Roman"/>
                      <w:color w:val="000000" w:themeColor="text1"/>
                      <w:highlight w:val="none"/>
                      <w14:textFill>
                        <w14:solidFill>
                          <w14:schemeClr w14:val="tx1"/>
                        </w14:solidFill>
                      </w14:textFill>
                    </w:rPr>
                    <w:instrText xml:space="preserve"> HYPERLINK "file:///D:\\微信\\WeChat%20Files\\wxid_1606796060012\\com_caislabs_ebk\\K管理政策\\名录-目录-名单\\产业结构调整指导目录(发改令第40号2005-12-2).htm" \t "main" \o "产业结构调整指导目录(发改令第40号2005-12-2)" </w:instrText>
                  </w:r>
                  <w:r>
                    <w:rPr>
                      <w:rFonts w:hint="default" w:ascii="Times New Roman" w:hAnsi="Times New Roman" w:eastAsia="宋体" w:cs="Times New Roman"/>
                      <w:color w:val="000000" w:themeColor="text1"/>
                      <w:highlight w:val="none"/>
                      <w14:textFill>
                        <w14:solidFill>
                          <w14:schemeClr w14:val="tx1"/>
                        </w14:solidFill>
                      </w14:textFill>
                    </w:rPr>
                    <w:fldChar w:fldCharType="separate"/>
                  </w:r>
                  <w:r>
                    <w:rPr>
                      <w:rFonts w:hint="default" w:ascii="Times New Roman" w:hAnsi="Times New Roman" w:eastAsia="宋体" w:cs="Times New Roman"/>
                      <w:color w:val="000000" w:themeColor="text1"/>
                      <w:highlight w:val="none"/>
                      <w14:textFill>
                        <w14:solidFill>
                          <w14:schemeClr w14:val="tx1"/>
                        </w14:solidFill>
                      </w14:textFill>
                    </w:rPr>
                    <w:t>产业结构调整指导目录</w:t>
                  </w:r>
                  <w:r>
                    <w:rPr>
                      <w:rFonts w:hint="default" w:ascii="Times New Roman" w:hAnsi="Times New Roman" w:eastAsia="宋体" w:cs="Times New Roman"/>
                      <w:color w:val="000000" w:themeColor="text1"/>
                      <w:highlight w:val="none"/>
                      <w14:textFill>
                        <w14:solidFill>
                          <w14:schemeClr w14:val="tx1"/>
                        </w14:solidFill>
                      </w14:textFill>
                    </w:rPr>
                    <w:fldChar w:fldCharType="end"/>
                  </w:r>
                  <w:r>
                    <w:rPr>
                      <w:rFonts w:hint="default" w:ascii="Times New Roman" w:hAnsi="Times New Roman" w:eastAsia="宋体" w:cs="Times New Roman"/>
                      <w:color w:val="000000" w:themeColor="text1"/>
                      <w:highlight w:val="none"/>
                      <w14:textFill>
                        <w14:solidFill>
                          <w14:schemeClr w14:val="tx1"/>
                        </w14:solidFill>
                      </w14:textFill>
                    </w:rPr>
                    <w:t>（20</w:t>
                  </w:r>
                  <w:r>
                    <w:rPr>
                      <w:rFonts w:hint="default" w:ascii="Times New Roman" w:hAnsi="Times New Roman" w:eastAsia="宋体" w:cs="Times New Roman"/>
                      <w:color w:val="000000" w:themeColor="text1"/>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highlight w:val="none"/>
                      <w14:textFill>
                        <w14:solidFill>
                          <w14:schemeClr w14:val="tx1"/>
                        </w14:solidFill>
                      </w14:textFill>
                    </w:rPr>
                    <w:t>年本）》</w:t>
                  </w:r>
                </w:p>
              </w:tc>
              <w:tc>
                <w:tcPr>
                  <w:tcW w:w="1709" w:type="pct"/>
                  <w:noWrap w:val="0"/>
                  <w:vAlign w:val="center"/>
                </w:tcPr>
                <w:p w14:paraId="579A8C74">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r>
                    <w:rPr>
                      <w:rFonts w:hint="default"/>
                      <w:color w:val="000000" w:themeColor="text1"/>
                      <w:highlight w:val="none"/>
                      <w:vertAlign w:val="baseline"/>
                      <w:lang w:val="en-US" w:eastAsia="zh-CN"/>
                      <w14:textFill>
                        <w14:solidFill>
                          <w14:schemeClr w14:val="tx1"/>
                        </w14:solidFill>
                      </w14:textFill>
                    </w:rPr>
                    <w:t>第二类 限制类</w:t>
                  </w:r>
                  <w:r>
                    <w:rPr>
                      <w:rFonts w:hint="eastAsia"/>
                      <w:color w:val="000000" w:themeColor="text1"/>
                      <w:highlight w:val="none"/>
                      <w:vertAlign w:val="baseline"/>
                      <w:lang w:val="en-US" w:eastAsia="zh-CN"/>
                      <w14:textFill>
                        <w14:solidFill>
                          <w14:schemeClr w14:val="tx1"/>
                        </w14:solidFill>
                      </w14:textFill>
                    </w:rPr>
                    <w:t>--六、钢铁--</w:t>
                  </w:r>
                  <w:r>
                    <w:rPr>
                      <w:rFonts w:hint="default"/>
                      <w:color w:val="000000" w:themeColor="text1"/>
                      <w:highlight w:val="none"/>
                      <w:vertAlign w:val="baseline"/>
                      <w:lang w:val="en-US" w:eastAsia="zh-CN"/>
                      <w14:textFill>
                        <w14:solidFill>
                          <w14:schemeClr w14:val="tx1"/>
                        </w14:solidFill>
                      </w14:textFill>
                    </w:rPr>
                    <w:t>2、180平方米以下烧结机（铁合金烧结机、铸造用生铁烧结机除外）</w:t>
                  </w:r>
                  <w:r>
                    <w:rPr>
                      <w:rFonts w:hint="eastAsia"/>
                      <w:color w:val="000000" w:themeColor="text1"/>
                      <w:highlight w:val="none"/>
                      <w:vertAlign w:val="baseline"/>
                      <w:lang w:val="en-US" w:eastAsia="zh-CN"/>
                      <w14:textFill>
                        <w14:solidFill>
                          <w14:schemeClr w14:val="tx1"/>
                        </w14:solidFill>
                      </w14:textFill>
                    </w:rPr>
                    <w:t>；</w:t>
                  </w:r>
                  <w:r>
                    <w:rPr>
                      <w:rFonts w:hint="default"/>
                      <w:color w:val="000000" w:themeColor="text1"/>
                      <w:highlight w:val="none"/>
                      <w:vertAlign w:val="baseline"/>
                      <w:lang w:val="en-US" w:eastAsia="zh-CN"/>
                      <w14:textFill>
                        <w14:solidFill>
                          <w14:schemeClr w14:val="tx1"/>
                        </w14:solidFill>
                      </w14:textFill>
                    </w:rPr>
                    <w:t>13、单机120万吨/年以下的球团设备（铁合金、铸造用生铁球团除外</w:t>
                  </w:r>
                  <w:r>
                    <w:rPr>
                      <w:rFonts w:hint="eastAsia"/>
                      <w:color w:val="000000" w:themeColor="text1"/>
                      <w:highlight w:val="none"/>
                      <w:vertAlign w:val="baseline"/>
                      <w:lang w:val="en-US" w:eastAsia="zh-CN"/>
                      <w14:textFill>
                        <w14:solidFill>
                          <w14:schemeClr w14:val="tx1"/>
                        </w14:solidFill>
                      </w14:textFill>
                    </w:rPr>
                    <w:t>；</w:t>
                  </w:r>
                  <w:r>
                    <w:rPr>
                      <w:rFonts w:hint="default"/>
                      <w:color w:val="000000" w:themeColor="text1"/>
                      <w:highlight w:val="none"/>
                      <w:vertAlign w:val="baseline"/>
                      <w:lang w:val="en-US" w:eastAsia="zh-CN"/>
                      <w14:textFill>
                        <w14:solidFill>
                          <w14:schemeClr w14:val="tx1"/>
                        </w14:solidFill>
                      </w14:textFill>
                    </w:rPr>
                    <w:t>14、顶装焦炉炭化室高度&lt;6.0米、捣固焦炉炭化室高度&lt;5.5米，100万吨/年以下焦化项目；热回收焦炉捣固煤饼体积&lt;35立方米，企业生产能力&lt;100万吨/年（铸造焦&lt;60万吨/年）焦化项目；半焦炉单炉生产能力&lt;10万吨/年，企业生产能力&lt;100万吨/年焦化项目</w:t>
                  </w:r>
                </w:p>
                <w:p w14:paraId="66F2849E">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p>
              </w:tc>
              <w:tc>
                <w:tcPr>
                  <w:tcW w:w="1137" w:type="pct"/>
                  <w:noWrap w:val="0"/>
                  <w:vAlign w:val="center"/>
                </w:tcPr>
                <w:p w14:paraId="335C7E0B">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vertAlign w:val="baseline"/>
                      <w:lang w:val="en-US" w:eastAsia="zh-CN"/>
                      <w14:textFill>
                        <w14:solidFill>
                          <w14:schemeClr w14:val="tx1"/>
                        </w14:solidFill>
                      </w14:textFill>
                    </w:rPr>
                    <w:t>项目不涉及</w:t>
                  </w:r>
                  <w:r>
                    <w:rPr>
                      <w:rFonts w:hint="default"/>
                      <w:color w:val="000000" w:themeColor="text1"/>
                      <w:highlight w:val="none"/>
                      <w:vertAlign w:val="baseline"/>
                      <w:lang w:val="en-US" w:eastAsia="zh-CN"/>
                      <w14:textFill>
                        <w14:solidFill>
                          <w14:schemeClr w14:val="tx1"/>
                        </w14:solidFill>
                      </w14:textFill>
                    </w:rPr>
                    <w:t>180平方米以下烧结机（铁合金烧结机、铸造用生铁烧结机除外）</w:t>
                  </w:r>
                  <w:r>
                    <w:rPr>
                      <w:rFonts w:hint="eastAsia"/>
                      <w:color w:val="000000" w:themeColor="text1"/>
                      <w:highlight w:val="none"/>
                      <w:vertAlign w:val="baseline"/>
                      <w:lang w:val="en-US" w:eastAsia="zh-CN"/>
                      <w14:textFill>
                        <w14:solidFill>
                          <w14:schemeClr w14:val="tx1"/>
                        </w14:solidFill>
                      </w14:textFill>
                    </w:rPr>
                    <w:t>；项目不涉及单</w:t>
                  </w:r>
                  <w:r>
                    <w:rPr>
                      <w:rFonts w:hint="default"/>
                      <w:color w:val="000000" w:themeColor="text1"/>
                      <w:highlight w:val="none"/>
                      <w:vertAlign w:val="baseline"/>
                      <w:lang w:val="en-US" w:eastAsia="zh-CN"/>
                      <w14:textFill>
                        <w14:solidFill>
                          <w14:schemeClr w14:val="tx1"/>
                        </w14:solidFill>
                      </w14:textFill>
                    </w:rPr>
                    <w:t>机120万吨/年以下的球团设备（铁合金、铸造用生铁球团除外）</w:t>
                  </w:r>
                  <w:r>
                    <w:rPr>
                      <w:rFonts w:hint="eastAsia"/>
                      <w:color w:val="000000" w:themeColor="text1"/>
                      <w:highlight w:val="none"/>
                      <w:vertAlign w:val="baseline"/>
                      <w:lang w:val="en-US" w:eastAsia="zh-CN"/>
                      <w14:textFill>
                        <w14:solidFill>
                          <w14:schemeClr w14:val="tx1"/>
                        </w14:solidFill>
                      </w14:textFill>
                    </w:rPr>
                    <w:t>；项目不涉及顶装焦炉炭化室高度&lt;6.0米、捣固焦炉炭化室高度&lt;5.5米，100万吨/年以下焦化项目；热回收焦炉捣固煤饼体积&lt;35立方米，企业生产能力&lt;100万吨/年（铸造焦&lt;60万吨/年）焦化项目；半焦炉单炉生产能力&lt;10万吨/年，企业生产能力&lt;100万吨/年焦化项目</w:t>
                  </w:r>
                </w:p>
              </w:tc>
              <w:tc>
                <w:tcPr>
                  <w:tcW w:w="635" w:type="pct"/>
                  <w:vMerge w:val="restart"/>
                  <w:noWrap w:val="0"/>
                  <w:vAlign w:val="center"/>
                </w:tcPr>
                <w:p w14:paraId="2F2EE7CD">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项目生产工艺和生产的产品均不属于规定的限制类和淘汰类。</w:t>
                  </w:r>
                </w:p>
              </w:tc>
              <w:tc>
                <w:tcPr>
                  <w:tcW w:w="396" w:type="pct"/>
                  <w:vMerge w:val="restart"/>
                  <w:noWrap w:val="0"/>
                  <w:vAlign w:val="center"/>
                </w:tcPr>
                <w:p w14:paraId="7B21F78B">
                  <w:pPr>
                    <w:shd w:val="clear"/>
                    <w:bidi w:val="0"/>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3F666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1" w:hRule="atLeast"/>
              </w:trPr>
              <w:tc>
                <w:tcPr>
                  <w:tcW w:w="266" w:type="pct"/>
                  <w:vMerge w:val="continue"/>
                  <w:noWrap w:val="0"/>
                  <w:vAlign w:val="center"/>
                </w:tcPr>
                <w:p w14:paraId="27E9C734">
                  <w:pPr>
                    <w:shd w:val="clear"/>
                    <w:bidi w:val="0"/>
                    <w:spacing w:line="240" w:lineRule="auto"/>
                    <w:jc w:val="center"/>
                    <w:rPr>
                      <w:color w:val="000000" w:themeColor="text1"/>
                      <w14:textFill>
                        <w14:solidFill>
                          <w14:schemeClr w14:val="tx1"/>
                        </w14:solidFill>
                      </w14:textFill>
                    </w:rPr>
                  </w:pPr>
                </w:p>
              </w:tc>
              <w:tc>
                <w:tcPr>
                  <w:tcW w:w="854" w:type="pct"/>
                  <w:vMerge w:val="continue"/>
                  <w:noWrap w:val="0"/>
                  <w:vAlign w:val="center"/>
                </w:tcPr>
                <w:p w14:paraId="17DEFDC5">
                  <w:pPr>
                    <w:shd w:val="clear"/>
                    <w:bidi w:val="0"/>
                    <w:spacing w:line="240" w:lineRule="auto"/>
                    <w:jc w:val="center"/>
                    <w:rPr>
                      <w:color w:val="000000" w:themeColor="text1"/>
                      <w14:textFill>
                        <w14:solidFill>
                          <w14:schemeClr w14:val="tx1"/>
                        </w14:solidFill>
                      </w14:textFill>
                    </w:rPr>
                  </w:pPr>
                </w:p>
              </w:tc>
              <w:tc>
                <w:tcPr>
                  <w:tcW w:w="1709" w:type="pct"/>
                  <w:noWrap w:val="0"/>
                  <w:vAlign w:val="center"/>
                </w:tcPr>
                <w:p w14:paraId="26B0A717">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r>
                    <w:rPr>
                      <w:rFonts w:hint="default"/>
                      <w:color w:val="000000" w:themeColor="text1"/>
                      <w:highlight w:val="none"/>
                      <w:vertAlign w:val="baseline"/>
                      <w:lang w:val="en-US" w:eastAsia="zh-CN"/>
                      <w14:textFill>
                        <w14:solidFill>
                          <w14:schemeClr w14:val="tx1"/>
                        </w14:solidFill>
                      </w14:textFill>
                    </w:rPr>
                    <w:t>第二类 限制类</w:t>
                  </w:r>
                  <w:r>
                    <w:rPr>
                      <w:rFonts w:hint="eastAsia"/>
                      <w:color w:val="000000" w:themeColor="text1"/>
                      <w:highlight w:val="none"/>
                      <w:vertAlign w:val="baseline"/>
                      <w:lang w:val="en-US" w:eastAsia="zh-CN"/>
                      <w14:textFill>
                        <w14:solidFill>
                          <w14:schemeClr w14:val="tx1"/>
                        </w14:solidFill>
                      </w14:textFill>
                    </w:rPr>
                    <w:t>--十一、机械--</w:t>
                  </w:r>
                  <w:r>
                    <w:rPr>
                      <w:rFonts w:hint="default"/>
                      <w:color w:val="000000" w:themeColor="text1"/>
                      <w:highlight w:val="none"/>
                      <w:vertAlign w:val="baseline"/>
                      <w:lang w:val="en-US" w:eastAsia="zh-CN"/>
                      <w14:textFill>
                        <w14:solidFill>
                          <w14:schemeClr w14:val="tx1"/>
                        </w14:solidFill>
                      </w14:textFill>
                    </w:rPr>
                    <w:t>48、使用淘汰类和限制类设备及工艺生产的铸件、锻件；不采用自动化造型设备的粘土砂型铸造项目、水玻璃熔模精密铸造项目、规模小于20万吨/年的离心球墨铸铁管项目、规模小于3万吨/年的离心灰铸铁管项目</w:t>
                  </w:r>
                </w:p>
              </w:tc>
              <w:tc>
                <w:tcPr>
                  <w:tcW w:w="1137" w:type="pct"/>
                  <w:noWrap w:val="0"/>
                  <w:vAlign w:val="center"/>
                </w:tcPr>
                <w:p w14:paraId="3C4BDF8F">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r>
                    <w:rPr>
                      <w:rFonts w:hint="eastAsia"/>
                      <w:color w:val="000000" w:themeColor="text1"/>
                      <w:highlight w:val="none"/>
                      <w:vertAlign w:val="baseline"/>
                      <w:lang w:val="en-US" w:eastAsia="zh-CN"/>
                      <w14:textFill>
                        <w14:solidFill>
                          <w14:schemeClr w14:val="tx1"/>
                        </w14:solidFill>
                      </w14:textFill>
                    </w:rPr>
                    <w:t>项目不涉及</w:t>
                  </w:r>
                  <w:r>
                    <w:rPr>
                      <w:rFonts w:hint="default"/>
                      <w:color w:val="000000" w:themeColor="text1"/>
                      <w:highlight w:val="none"/>
                      <w:vertAlign w:val="baseline"/>
                      <w:lang w:val="en-US" w:eastAsia="zh-CN"/>
                      <w14:textFill>
                        <w14:solidFill>
                          <w14:schemeClr w14:val="tx1"/>
                        </w14:solidFill>
                      </w14:textFill>
                    </w:rPr>
                    <w:t>使用淘汰类和限制类设备及工艺生产的铸件、锻件；不采用自动化造型设备的粘土砂型铸造项目、水玻璃熔模精密铸造项目、规模小于20万吨/年的离心球墨铸铁管项目、规模小于3万吨/年的离心灰铸铁管项目</w:t>
                  </w:r>
                </w:p>
              </w:tc>
              <w:tc>
                <w:tcPr>
                  <w:tcW w:w="635" w:type="pct"/>
                  <w:vMerge w:val="continue"/>
                  <w:noWrap w:val="0"/>
                  <w:vAlign w:val="center"/>
                </w:tcPr>
                <w:p w14:paraId="65F9119B">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p>
              </w:tc>
              <w:tc>
                <w:tcPr>
                  <w:tcW w:w="396" w:type="pct"/>
                  <w:vMerge w:val="continue"/>
                  <w:noWrap w:val="0"/>
                  <w:vAlign w:val="center"/>
                </w:tcPr>
                <w:p w14:paraId="5C208004">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p>
              </w:tc>
            </w:tr>
            <w:tr w14:paraId="5459F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6" w:hRule="atLeast"/>
              </w:trPr>
              <w:tc>
                <w:tcPr>
                  <w:tcW w:w="266" w:type="pct"/>
                  <w:vMerge w:val="continue"/>
                  <w:noWrap w:val="0"/>
                  <w:vAlign w:val="center"/>
                </w:tcPr>
                <w:p w14:paraId="7B8B4E19">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p>
              </w:tc>
              <w:tc>
                <w:tcPr>
                  <w:tcW w:w="854" w:type="pct"/>
                  <w:vMerge w:val="continue"/>
                  <w:noWrap w:val="0"/>
                  <w:vAlign w:val="center"/>
                </w:tcPr>
                <w:p w14:paraId="666B1497">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p>
              </w:tc>
              <w:tc>
                <w:tcPr>
                  <w:tcW w:w="1709" w:type="pct"/>
                  <w:noWrap w:val="0"/>
                  <w:vAlign w:val="center"/>
                </w:tcPr>
                <w:p w14:paraId="31A60DEA">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r>
                    <w:rPr>
                      <w:rFonts w:hint="default"/>
                      <w:color w:val="000000" w:themeColor="text1"/>
                      <w:highlight w:val="none"/>
                      <w:vertAlign w:val="baseline"/>
                      <w:lang w:val="en-US" w:eastAsia="zh-CN"/>
                      <w14:textFill>
                        <w14:solidFill>
                          <w14:schemeClr w14:val="tx1"/>
                        </w14:solidFill>
                      </w14:textFill>
                    </w:rPr>
                    <w:t>第三类 淘汰类</w:t>
                  </w:r>
                  <w:r>
                    <w:rPr>
                      <w:rFonts w:hint="eastAsia"/>
                      <w:color w:val="000000" w:themeColor="text1"/>
                      <w:highlight w:val="none"/>
                      <w:vertAlign w:val="baseline"/>
                      <w:lang w:val="en-US" w:eastAsia="zh-CN"/>
                      <w14:textFill>
                        <w14:solidFill>
                          <w14:schemeClr w14:val="tx1"/>
                        </w14:solidFill>
                      </w14:textFill>
                    </w:rPr>
                    <w:t>--</w:t>
                  </w:r>
                  <w:r>
                    <w:rPr>
                      <w:rFonts w:hint="default"/>
                      <w:color w:val="000000" w:themeColor="text1"/>
                      <w:highlight w:val="none"/>
                      <w:vertAlign w:val="baseline"/>
                      <w:lang w:val="en-US" w:eastAsia="zh-CN"/>
                      <w14:textFill>
                        <w14:solidFill>
                          <w14:schemeClr w14:val="tx1"/>
                        </w14:solidFill>
                      </w14:textFill>
                    </w:rPr>
                    <w:t>一、落后生产工艺装备</w:t>
                  </w:r>
                  <w:r>
                    <w:rPr>
                      <w:rFonts w:hint="eastAsia"/>
                      <w:color w:val="000000" w:themeColor="text1"/>
                      <w:highlight w:val="none"/>
                      <w:vertAlign w:val="baseline"/>
                      <w:lang w:val="en-US" w:eastAsia="zh-CN"/>
                      <w14:textFill>
                        <w14:solidFill>
                          <w14:schemeClr w14:val="tx1"/>
                        </w14:solidFill>
                      </w14:textFill>
                    </w:rPr>
                    <w:t>--</w:t>
                  </w:r>
                  <w:r>
                    <w:rPr>
                      <w:rFonts w:hint="default"/>
                      <w:color w:val="000000" w:themeColor="text1"/>
                      <w:highlight w:val="none"/>
                      <w:vertAlign w:val="baseline"/>
                      <w:lang w:val="en-US" w:eastAsia="zh-CN"/>
                      <w14:textFill>
                        <w14:solidFill>
                          <w14:schemeClr w14:val="tx1"/>
                        </w14:solidFill>
                      </w14:textFill>
                    </w:rPr>
                    <w:t>6、400立方米及以下炼钢用生铁高炉（河北2020年底前淘汰450立方米及以下炼钢用生铁高炉），200立方米及以下铁合金生产用高炉（其中锰铁高炉为100立方米及以下），200立方米及以下铸造用生铁高炉（其中配套“短流程”铸造工艺的铸造用生铁高炉为100立方米及以下）</w:t>
                  </w:r>
                </w:p>
              </w:tc>
              <w:tc>
                <w:tcPr>
                  <w:tcW w:w="1137" w:type="pct"/>
                  <w:noWrap w:val="0"/>
                  <w:vAlign w:val="center"/>
                </w:tcPr>
                <w:p w14:paraId="2F48955B">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r>
                    <w:rPr>
                      <w:rFonts w:hint="eastAsia"/>
                      <w:color w:val="000000" w:themeColor="text1"/>
                      <w:highlight w:val="none"/>
                      <w:vertAlign w:val="baseline"/>
                      <w:lang w:val="en-US" w:eastAsia="zh-CN"/>
                      <w14:textFill>
                        <w14:solidFill>
                          <w14:schemeClr w14:val="tx1"/>
                        </w14:solidFill>
                      </w14:textFill>
                    </w:rPr>
                    <w:t>项目不涉及400立方米及以下炼钢用生铁高炉（河北2020年底前淘汰450立方米及以下炼钢用生铁高炉），200立方米及以下铁合金生产用高炉（其中锰铁高炉为100立方米及以下），200立方米及以下铸造用生铁高炉（其中配套“短流程”铸造工艺的铸造用生铁高炉为100立方米及以下）</w:t>
                  </w:r>
                </w:p>
              </w:tc>
              <w:tc>
                <w:tcPr>
                  <w:tcW w:w="635" w:type="pct"/>
                  <w:vMerge w:val="continue"/>
                  <w:noWrap w:val="0"/>
                  <w:vAlign w:val="center"/>
                </w:tcPr>
                <w:p w14:paraId="014AAEB8">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p>
              </w:tc>
              <w:tc>
                <w:tcPr>
                  <w:tcW w:w="396" w:type="pct"/>
                  <w:vMerge w:val="continue"/>
                  <w:noWrap w:val="0"/>
                  <w:vAlign w:val="center"/>
                </w:tcPr>
                <w:p w14:paraId="586D435A">
                  <w:pPr>
                    <w:shd w:val="clear"/>
                    <w:bidi w:val="0"/>
                    <w:spacing w:line="240" w:lineRule="auto"/>
                    <w:jc w:val="center"/>
                    <w:rPr>
                      <w:rFonts w:hint="default"/>
                      <w:color w:val="000000" w:themeColor="text1"/>
                      <w:highlight w:val="none"/>
                      <w:vertAlign w:val="baseline"/>
                      <w:lang w:val="en-US" w:eastAsia="zh-CN"/>
                      <w14:textFill>
                        <w14:solidFill>
                          <w14:schemeClr w14:val="tx1"/>
                        </w14:solidFill>
                      </w14:textFill>
                    </w:rPr>
                  </w:pPr>
                </w:p>
              </w:tc>
            </w:tr>
            <w:tr w14:paraId="56801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0" w:hRule="atLeast"/>
              </w:trPr>
              <w:tc>
                <w:tcPr>
                  <w:tcW w:w="266" w:type="pct"/>
                  <w:noWrap w:val="0"/>
                  <w:vAlign w:val="center"/>
                </w:tcPr>
                <w:p w14:paraId="6B19619A">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2</w:t>
                  </w:r>
                </w:p>
              </w:tc>
              <w:tc>
                <w:tcPr>
                  <w:tcW w:w="854" w:type="pct"/>
                  <w:noWrap w:val="0"/>
                  <w:vAlign w:val="center"/>
                </w:tcPr>
                <w:p w14:paraId="38FCF81B">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《市场准入负面清单（202</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highlight w:val="none"/>
                      <w14:textFill>
                        <w14:solidFill>
                          <w14:schemeClr w14:val="tx1"/>
                        </w14:solidFill>
                      </w14:textFill>
                    </w:rPr>
                    <w:t>年版）》</w:t>
                  </w:r>
                </w:p>
              </w:tc>
              <w:tc>
                <w:tcPr>
                  <w:tcW w:w="1709" w:type="pct"/>
                  <w:noWrap w:val="0"/>
                  <w:vAlign w:val="center"/>
                </w:tcPr>
                <w:p w14:paraId="155515F2">
                  <w:pPr>
                    <w:shd w:val="clear"/>
                    <w:bidi w:val="0"/>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制造业-禁止措施-</w:t>
                  </w:r>
                  <w:r>
                    <w:rPr>
                      <w:rFonts w:hint="default"/>
                      <w:color w:val="000000" w:themeColor="text1"/>
                      <w:highlight w:val="none"/>
                      <w:vertAlign w:val="baseline"/>
                      <w:lang w:val="en-US" w:eastAsia="zh-CN"/>
                      <w14:textFill>
                        <w14:solidFill>
                          <w14:schemeClr w14:val="tx1"/>
                        </w14:solidFill>
                      </w14:textFill>
                    </w:rPr>
                    <w:t>重点区域（京津冀及周边地区、长三角地区、汾渭平原）严禁新增钢铁、焦化、电解铝、铸造、水泥和平板玻璃等产能</w:t>
                  </w:r>
                </w:p>
              </w:tc>
              <w:tc>
                <w:tcPr>
                  <w:tcW w:w="1773" w:type="pct"/>
                  <w:gridSpan w:val="2"/>
                  <w:noWrap w:val="0"/>
                  <w:vAlign w:val="center"/>
                </w:tcPr>
                <w:p w14:paraId="47B0D144">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本项目位于</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中山市南朗街道第六工业区逸仙公路222号B栋C区</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不属于重点区域。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项目为C3392有色金属铸造、C3879灯用电器附件及其他照明器具制造、C3670汽车零部件及配件制造、</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C3525模具制造</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，不属于禁止准入类和许可准入类，属于负面清单以外的行业。</w:t>
                  </w:r>
                </w:p>
              </w:tc>
              <w:tc>
                <w:tcPr>
                  <w:tcW w:w="396" w:type="pct"/>
                  <w:noWrap w:val="0"/>
                  <w:vAlign w:val="center"/>
                </w:tcPr>
                <w:p w14:paraId="1172A40B">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6A08E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0" w:hRule="atLeast"/>
              </w:trPr>
              <w:tc>
                <w:tcPr>
                  <w:tcW w:w="266" w:type="pct"/>
                  <w:noWrap w:val="0"/>
                  <w:vAlign w:val="center"/>
                </w:tcPr>
                <w:p w14:paraId="3E193F5D">
                  <w:pPr>
                    <w:shd w:val="clear"/>
                    <w:bidi w:val="0"/>
                    <w:spacing w:line="240" w:lineRule="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w:t>
                  </w:r>
                </w:p>
              </w:tc>
              <w:tc>
                <w:tcPr>
                  <w:tcW w:w="854" w:type="pct"/>
                  <w:noWrap w:val="0"/>
                  <w:vAlign w:val="center"/>
                </w:tcPr>
                <w:p w14:paraId="6B727439">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《产业发展与转移指导目录》（2018年版）</w:t>
                  </w:r>
                </w:p>
              </w:tc>
              <w:tc>
                <w:tcPr>
                  <w:tcW w:w="1709" w:type="pct"/>
                  <w:noWrap w:val="0"/>
                  <w:vAlign w:val="center"/>
                </w:tcPr>
                <w:p w14:paraId="12E458D3">
                  <w:pPr>
                    <w:shd w:val="clear"/>
                    <w:bidi w:val="0"/>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c>
                <w:tcPr>
                  <w:tcW w:w="1773" w:type="pct"/>
                  <w:gridSpan w:val="2"/>
                  <w:noWrap w:val="0"/>
                  <w:vAlign w:val="center"/>
                </w:tcPr>
                <w:p w14:paraId="5201DE88">
                  <w:pPr>
                    <w:shd w:val="clear"/>
                    <w:bidi w:val="0"/>
                    <w:spacing w:line="240" w:lineRule="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本项目不属于需退出或不再承接产业，因此与国家产业政策相符</w:t>
                  </w:r>
                  <w:r>
                    <w:rPr>
                      <w:rFonts w:hint="eastAsia" w:ascii="Times New Roman" w:hAnsi="Times New Roman" w:cs="Times New Roman"/>
                      <w:color w:val="000000" w:themeColor="text1"/>
                      <w:szCs w:val="21"/>
                      <w:highlight w:val="none"/>
                      <w:lang w:eastAsia="zh-CN"/>
                      <w14:textFill>
                        <w14:solidFill>
                          <w14:schemeClr w14:val="tx1"/>
                        </w14:solidFill>
                      </w14:textFill>
                    </w:rPr>
                    <w:t>。</w:t>
                  </w:r>
                </w:p>
              </w:tc>
              <w:tc>
                <w:tcPr>
                  <w:tcW w:w="396" w:type="pct"/>
                  <w:noWrap w:val="0"/>
                  <w:vAlign w:val="center"/>
                </w:tcPr>
                <w:p w14:paraId="5878A18A">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符合</w:t>
                  </w:r>
                </w:p>
              </w:tc>
            </w:tr>
            <w:tr w14:paraId="19D23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noWrap w:val="0"/>
                  <w:vAlign w:val="center"/>
                </w:tcPr>
                <w:p w14:paraId="4079BBB0">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w:t>
                  </w:r>
                </w:p>
              </w:tc>
              <w:tc>
                <w:tcPr>
                  <w:tcW w:w="854" w:type="pct"/>
                  <w:noWrap w:val="0"/>
                  <w:vAlign w:val="center"/>
                </w:tcPr>
                <w:p w14:paraId="6835C33F">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《广东省坚决遏制</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“两高”</w:t>
                  </w:r>
                  <w:r>
                    <w:rPr>
                      <w:rFonts w:hint="default" w:ascii="Times New Roman" w:hAnsi="Times New Roman" w:eastAsia="宋体" w:cs="Times New Roman"/>
                      <w:color w:val="000000" w:themeColor="text1"/>
                      <w:highlight w:val="none"/>
                      <w:lang w:eastAsia="zh-CN"/>
                      <w14:textFill>
                        <w14:solidFill>
                          <w14:schemeClr w14:val="tx1"/>
                        </w14:solidFill>
                      </w14:textFill>
                    </w:rPr>
                    <w:t>项目盲目发展实施方案》</w:t>
                  </w:r>
                </w:p>
              </w:tc>
              <w:tc>
                <w:tcPr>
                  <w:tcW w:w="1709" w:type="pct"/>
                  <w:noWrap w:val="0"/>
                  <w:vAlign w:val="center"/>
                </w:tcPr>
                <w:p w14:paraId="0308BE51">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严控重点区域“两高”项目。严禁在经规划环评审查的产业园区以外区域，新建及扩建石化、化工、有色金属冶炼、平板玻璃项目。珠三角核心区域禁止新建、扩建水泥、平板玻璃、化学制浆、生皮制革以及国家规划外的钢铁、原油加工等项目；禁止新建、扩建燃煤火电机组和企业自备电站，推进现有服役期满燃煤火电机组有序退出。对未完成上年度能耗强度下降目标，或能耗强度下降目标形势严峻、用能空间不足的地区，实行“两高”项目缓批限批或能耗减量替代。对超过重点污染物排放总量控制指标或未完成环境质量改善目标的区域，执行更严格的排放总量控制要求。</w:t>
                  </w:r>
                </w:p>
              </w:tc>
              <w:tc>
                <w:tcPr>
                  <w:tcW w:w="1773" w:type="pct"/>
                  <w:gridSpan w:val="2"/>
                  <w:noWrap w:val="0"/>
                  <w:vAlign w:val="center"/>
                </w:tcPr>
                <w:p w14:paraId="3DEC40AA">
                  <w:pPr>
                    <w:shd w:val="clear"/>
                    <w:bidi w:val="0"/>
                    <w:spacing w:line="240" w:lineRule="auto"/>
                    <w:jc w:val="center"/>
                    <w:rPr>
                      <w:rFonts w:hint="default" w:ascii="Times New Roman" w:hAnsi="Times New Roman" w:eastAsia="宋体"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本项目属于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C3392有色金属铸造</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C3879灯用电器附件及其他照明器具制造</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C3670汽车零部件及配件制造</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t>C3525模具制造</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不属于“两高”</w:t>
                  </w:r>
                  <w:r>
                    <w:rPr>
                      <w:rFonts w:hint="eastAsia" w:cs="Times New Roman"/>
                      <w:color w:val="000000" w:themeColor="text1"/>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highlight w:val="none"/>
                      <w:lang w:val="en-US" w:eastAsia="zh-CN"/>
                      <w14:textFill>
                        <w14:solidFill>
                          <w14:schemeClr w14:val="tx1"/>
                        </w14:solidFill>
                      </w14:textFill>
                    </w:rPr>
                    <w:t>类别</w:t>
                  </w:r>
                  <w:r>
                    <w:rPr>
                      <w:rFonts w:hint="eastAsia" w:cs="Times New Roman"/>
                      <w:color w:val="000000" w:themeColor="text1"/>
                      <w:highlight w:val="none"/>
                      <w:lang w:val="en-US" w:eastAsia="zh-CN"/>
                      <w14:textFill>
                        <w14:solidFill>
                          <w14:schemeClr w14:val="tx1"/>
                        </w14:solidFill>
                      </w14:textFill>
                    </w:rPr>
                    <w:t>。</w:t>
                  </w:r>
                </w:p>
              </w:tc>
              <w:tc>
                <w:tcPr>
                  <w:tcW w:w="396" w:type="pct"/>
                  <w:noWrap w:val="0"/>
                  <w:vAlign w:val="center"/>
                </w:tcPr>
                <w:p w14:paraId="4C6C1066">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72CAA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restart"/>
                  <w:noWrap w:val="0"/>
                  <w:vAlign w:val="center"/>
                </w:tcPr>
                <w:p w14:paraId="227AFA90">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w:t>
                  </w:r>
                </w:p>
              </w:tc>
              <w:tc>
                <w:tcPr>
                  <w:tcW w:w="854" w:type="pct"/>
                  <w:vMerge w:val="restart"/>
                  <w:noWrap w:val="0"/>
                  <w:vAlign w:val="center"/>
                </w:tcPr>
                <w:p w14:paraId="10CB8879">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中山市生态环境局关于印发《中山市涉挥发性有机物项目环保管理规定》的通知</w:t>
                  </w:r>
                </w:p>
                <w:p w14:paraId="565A31C7">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中环规字〔2021〕1号</w:t>
                  </w:r>
                  <w:r>
                    <w:rPr>
                      <w:rFonts w:hint="default" w:ascii="Times New Roman" w:hAnsi="Times New Roman" w:eastAsia="宋体" w:cs="Times New Roman"/>
                      <w:color w:val="000000" w:themeColor="text1"/>
                      <w:highlight w:val="none"/>
                      <w:lang w:eastAsia="zh-CN"/>
                      <w14:textFill>
                        <w14:solidFill>
                          <w14:schemeClr w14:val="tx1"/>
                        </w14:solidFill>
                      </w14:textFill>
                    </w:rPr>
                    <w:t>】</w:t>
                  </w:r>
                </w:p>
              </w:tc>
              <w:tc>
                <w:tcPr>
                  <w:tcW w:w="1709" w:type="pct"/>
                  <w:noWrap w:val="0"/>
                  <w:vAlign w:val="center"/>
                </w:tcPr>
                <w:p w14:paraId="24C77903">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第四条</w:t>
                  </w:r>
                  <w:r>
                    <w:rPr>
                      <w:rFonts w:hint="default" w:ascii="Times New Roman" w:hAnsi="Times New Roman" w:eastAsia="宋体" w:cs="Times New Roman"/>
                      <w:color w:val="000000" w:themeColor="text1"/>
                      <w:highlight w:val="none"/>
                      <w14:textFill>
                        <w14:solidFill>
                          <w14:schemeClr w14:val="tx1"/>
                        </w14:solidFill>
                      </w14:textFill>
                    </w:rPr>
                    <w:t>中山市大气重点区域（东区、西区、南区、石岐街道）不</w:t>
                  </w:r>
                  <w:r>
                    <w:rPr>
                      <w:rFonts w:hint="default" w:ascii="Times New Roman" w:hAnsi="Times New Roman" w:eastAsia="宋体" w:cs="Times New Roman"/>
                      <w:color w:val="000000" w:themeColor="text1"/>
                      <w:highlight w:val="none"/>
                      <w:lang w:val="en-US" w:eastAsia="zh-CN"/>
                      <w14:textFill>
                        <w14:solidFill>
                          <w14:schemeClr w14:val="tx1"/>
                        </w14:solidFill>
                      </w14:textFill>
                    </w:rPr>
                    <w:t>再</w:t>
                  </w:r>
                  <w:r>
                    <w:rPr>
                      <w:rFonts w:hint="default" w:ascii="Times New Roman" w:hAnsi="Times New Roman" w:eastAsia="宋体" w:cs="Times New Roman"/>
                      <w:color w:val="000000" w:themeColor="text1"/>
                      <w:highlight w:val="none"/>
                      <w14:textFill>
                        <w14:solidFill>
                          <w14:schemeClr w14:val="tx1"/>
                        </w14:solidFill>
                      </w14:textFill>
                    </w:rPr>
                    <w:t>审批（或备案）新建、扩建涉总VOCs产排工业项目</w:t>
                  </w:r>
                  <w:r>
                    <w:rPr>
                      <w:rFonts w:hint="default" w:ascii="Times New Roman" w:hAnsi="Times New Roman" w:eastAsia="宋体" w:cs="Times New Roman"/>
                      <w:color w:val="000000" w:themeColor="text1"/>
                      <w:highlight w:val="none"/>
                      <w:lang w:eastAsia="zh-CN"/>
                      <w14:textFill>
                        <w14:solidFill>
                          <w14:schemeClr w14:val="tx1"/>
                        </w14:solidFill>
                      </w14:textFill>
                    </w:rPr>
                    <w:t>。</w:t>
                  </w:r>
                </w:p>
              </w:tc>
              <w:tc>
                <w:tcPr>
                  <w:tcW w:w="1773" w:type="pct"/>
                  <w:gridSpan w:val="2"/>
                  <w:noWrap w:val="0"/>
                  <w:vAlign w:val="center"/>
                </w:tcPr>
                <w:p w14:paraId="37BAA909">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本项目位于</w:t>
                  </w:r>
                  <w:r>
                    <w:rPr>
                      <w:rFonts w:hint="eastAsia" w:cs="Times New Roman"/>
                      <w:color w:val="000000" w:themeColor="text1"/>
                      <w:highlight w:val="none"/>
                      <w:lang w:val="en-US" w:eastAsia="zh-CN"/>
                      <w14:textFill>
                        <w14:solidFill>
                          <w14:schemeClr w14:val="tx1"/>
                        </w14:solidFill>
                      </w14:textFill>
                    </w:rPr>
                    <w:t>中山市南朗街道</w:t>
                  </w:r>
                  <w:r>
                    <w:rPr>
                      <w:rFonts w:hint="default" w:ascii="Times New Roman" w:hAnsi="Times New Roman" w:eastAsia="宋体" w:cs="Times New Roman"/>
                      <w:color w:val="000000" w:themeColor="text1"/>
                      <w:highlight w:val="none"/>
                      <w14:textFill>
                        <w14:solidFill>
                          <w14:schemeClr w14:val="tx1"/>
                        </w14:solidFill>
                      </w14:textFill>
                    </w:rPr>
                    <w:t>，不属于中山市大气重点区域。</w:t>
                  </w:r>
                </w:p>
              </w:tc>
              <w:tc>
                <w:tcPr>
                  <w:tcW w:w="396" w:type="pct"/>
                  <w:vMerge w:val="restart"/>
                  <w:noWrap w:val="0"/>
                  <w:vAlign w:val="center"/>
                </w:tcPr>
                <w:p w14:paraId="4C925F4C">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7EB64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continue"/>
                  <w:noWrap w:val="0"/>
                  <w:vAlign w:val="center"/>
                </w:tcPr>
                <w:p w14:paraId="1DBF565A">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54" w:type="pct"/>
                  <w:vMerge w:val="continue"/>
                  <w:noWrap w:val="0"/>
                  <w:vAlign w:val="center"/>
                </w:tcPr>
                <w:p w14:paraId="61957460">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709" w:type="pct"/>
                  <w:noWrap w:val="0"/>
                  <w:vAlign w:val="center"/>
                </w:tcPr>
                <w:p w14:paraId="512A2286">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第五条</w:t>
                  </w:r>
                  <w:r>
                    <w:rPr>
                      <w:rFonts w:hint="default" w:ascii="Times New Roman" w:hAnsi="Times New Roman" w:eastAsia="宋体" w:cs="Times New Roman"/>
                      <w:color w:val="000000" w:themeColor="text1"/>
                      <w:highlight w:val="none"/>
                      <w14:textFill>
                        <w14:solidFill>
                          <w14:schemeClr w14:val="tx1"/>
                        </w14:solidFill>
                      </w14:textFill>
                    </w:rPr>
                    <w:t>全市范围内原则上不再审批或备案新建、扩建</w:t>
                  </w:r>
                  <w:r>
                    <w:rPr>
                      <w:rFonts w:hint="default" w:ascii="Times New Roman" w:hAnsi="Times New Roman" w:eastAsia="宋体" w:cs="Times New Roman"/>
                      <w:color w:val="000000" w:themeColor="text1"/>
                      <w:highlight w:val="none"/>
                      <w:lang w:eastAsia="zh-CN"/>
                      <w14:textFill>
                        <w14:solidFill>
                          <w14:schemeClr w14:val="tx1"/>
                        </w14:solidFill>
                      </w14:textFill>
                    </w:rPr>
                    <w:t>涉及</w:t>
                  </w:r>
                  <w:r>
                    <w:rPr>
                      <w:rFonts w:hint="default" w:ascii="Times New Roman" w:hAnsi="Times New Roman" w:eastAsia="宋体" w:cs="Times New Roman"/>
                      <w:color w:val="000000" w:themeColor="text1"/>
                      <w:highlight w:val="none"/>
                      <w14:textFill>
                        <w14:solidFill>
                          <w14:schemeClr w14:val="tx1"/>
                        </w14:solidFill>
                      </w14:textFill>
                    </w:rPr>
                    <w:t>使用非低（无）VOCs涂料、油墨、胶粘剂原辅材料的工业类项目</w:t>
                  </w:r>
                  <w:r>
                    <w:rPr>
                      <w:rFonts w:hint="default" w:ascii="Times New Roman" w:hAnsi="Times New Roman" w:eastAsia="宋体" w:cs="Times New Roman"/>
                      <w:color w:val="000000" w:themeColor="text1"/>
                      <w:highlight w:val="none"/>
                      <w:lang w:eastAsia="zh-CN"/>
                      <w14:textFill>
                        <w14:solidFill>
                          <w14:schemeClr w14:val="tx1"/>
                        </w14:solidFill>
                      </w14:textFill>
                    </w:rPr>
                    <w:t>。</w:t>
                  </w:r>
                </w:p>
              </w:tc>
              <w:tc>
                <w:tcPr>
                  <w:tcW w:w="1773" w:type="pct"/>
                  <w:gridSpan w:val="2"/>
                  <w:noWrap w:val="0"/>
                  <w:vAlign w:val="center"/>
                </w:tcPr>
                <w:p w14:paraId="2A4C4A09">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本项目不使用非低（无）VOCs涂料、油墨、胶粘剂。</w:t>
                  </w:r>
                </w:p>
              </w:tc>
              <w:tc>
                <w:tcPr>
                  <w:tcW w:w="396" w:type="pct"/>
                  <w:vMerge w:val="continue"/>
                  <w:noWrap w:val="0"/>
                  <w:vAlign w:val="center"/>
                </w:tcPr>
                <w:p w14:paraId="34C3EC40">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3039D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1" w:hRule="atLeast"/>
              </w:trPr>
              <w:tc>
                <w:tcPr>
                  <w:tcW w:w="266" w:type="pct"/>
                  <w:vMerge w:val="continue"/>
                  <w:noWrap w:val="0"/>
                  <w:vAlign w:val="center"/>
                </w:tcPr>
                <w:p w14:paraId="683CD70C">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54" w:type="pct"/>
                  <w:vMerge w:val="continue"/>
                  <w:noWrap w:val="0"/>
                  <w:vAlign w:val="center"/>
                </w:tcPr>
                <w:p w14:paraId="5A48D40C">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709" w:type="pct"/>
                  <w:noWrap w:val="0"/>
                  <w:vAlign w:val="center"/>
                </w:tcPr>
                <w:p w14:paraId="5855720F">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第十条</w:t>
                  </w:r>
                  <w:r>
                    <w:rPr>
                      <w:rFonts w:hint="default" w:ascii="Times New Roman" w:hAnsi="Times New Roman" w:eastAsia="宋体" w:cs="Times New Roman"/>
                      <w:color w:val="000000" w:themeColor="text1"/>
                      <w:szCs w:val="21"/>
                      <w:highlight w:val="none"/>
                      <w14:textFill>
                        <w14:solidFill>
                          <w14:schemeClr w14:val="tx1"/>
                        </w14:solidFill>
                      </w14:textFill>
                    </w:rPr>
                    <w:t>VOCs废气遵循“应收尽收、分质收集”的原则，收集效率不应低于90%。由于技术可行性等因素，确实达不到90%的，需在环评报告充分论述并确定收集效率要求。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p>
              </w:tc>
              <w:tc>
                <w:tcPr>
                  <w:tcW w:w="1773" w:type="pct"/>
                  <w:gridSpan w:val="2"/>
                  <w:noWrap w:val="0"/>
                  <w:vAlign w:val="center"/>
                </w:tcPr>
                <w:p w14:paraId="233B45F9">
                  <w:pPr>
                    <w:shd w:val="clear"/>
                    <w:bidi w:val="0"/>
                    <w:spacing w:line="240" w:lineRule="auto"/>
                    <w:rPr>
                      <w:rFonts w:hint="default" w:ascii="Times New Roman" w:hAnsi="Times New Roman" w:eastAsia="宋体" w:cs="Times New Roman"/>
                      <w:color w:val="000000" w:themeColor="text1"/>
                      <w:highlight w:val="none"/>
                      <w:lang w:val="en-US"/>
                      <w14:textFill>
                        <w14:solidFill>
                          <w14:schemeClr w14:val="tx1"/>
                        </w14:solidFill>
                      </w14:textFill>
                    </w:rPr>
                  </w:pPr>
                  <w:r>
                    <w:rPr>
                      <w:rFonts w:ascii="Times New Roman" w:hAnsi="Times New Roman"/>
                      <w:color w:val="000000" w:themeColor="text1"/>
                      <w:highlight w:val="none"/>
                      <w14:textFill>
                        <w14:solidFill>
                          <w14:schemeClr w14:val="tx1"/>
                        </w14:solidFill>
                      </w14:textFill>
                    </w:rPr>
                    <w:t>项目</w:t>
                  </w:r>
                  <w:r>
                    <w:rPr>
                      <w:rFonts w:hint="eastAsia" w:ascii="Times New Roman" w:hAnsi="Times New Roman"/>
                      <w:color w:val="000000" w:themeColor="text1"/>
                      <w:highlight w:val="none"/>
                      <w:lang w:val="en-US" w:eastAsia="zh-CN"/>
                      <w14:textFill>
                        <w14:solidFill>
                          <w14:schemeClr w14:val="tx1"/>
                        </w14:solidFill>
                      </w14:textFill>
                    </w:rPr>
                    <w:t>压铸</w:t>
                  </w:r>
                  <w:r>
                    <w:rPr>
                      <w:rFonts w:ascii="Times New Roman" w:hAnsi="Times New Roman"/>
                      <w:color w:val="000000" w:themeColor="text1"/>
                      <w:highlight w:val="none"/>
                      <w14:textFill>
                        <w14:solidFill>
                          <w14:schemeClr w14:val="tx1"/>
                        </w14:solidFill>
                      </w14:textFill>
                    </w:rPr>
                    <w:t>车间面积较大，整体抽风收集会导</w:t>
                  </w:r>
                  <w:r>
                    <w:rPr>
                      <w:rFonts w:hint="eastAsia" w:ascii="Times New Roman" w:hAnsi="Times New Roman"/>
                      <w:color w:val="000000" w:themeColor="text1"/>
                      <w:highlight w:val="none"/>
                      <w:lang w:val="en-US" w:eastAsia="zh-CN"/>
                      <w14:textFill>
                        <w14:solidFill>
                          <w14:schemeClr w14:val="tx1"/>
                        </w14:solidFill>
                      </w14:textFill>
                    </w:rPr>
                    <w:t>致</w:t>
                  </w:r>
                  <w:r>
                    <w:rPr>
                      <w:rFonts w:ascii="Times New Roman" w:hAnsi="Times New Roman"/>
                      <w:color w:val="000000" w:themeColor="text1"/>
                      <w:highlight w:val="none"/>
                      <w14:textFill>
                        <w14:solidFill>
                          <w14:schemeClr w14:val="tx1"/>
                        </w14:solidFill>
                      </w14:textFill>
                    </w:rPr>
                    <w:t>收集废气浓度较低，影响治理效率</w:t>
                  </w:r>
                  <w:r>
                    <w:rPr>
                      <w:rFonts w:hint="eastAsia" w:ascii="Times New Roman" w:hAnsi="Times New Roman"/>
                      <w:color w:val="000000" w:themeColor="text1"/>
                      <w:highlight w:val="none"/>
                      <w:lang w:eastAsia="zh-CN"/>
                      <w14:textFill>
                        <w14:solidFill>
                          <w14:schemeClr w14:val="tx1"/>
                        </w14:solidFill>
                      </w14:textFill>
                    </w:rPr>
                    <w:t>，</w:t>
                  </w:r>
                  <w:r>
                    <w:rPr>
                      <w:rFonts w:hint="eastAsia" w:ascii="Times New Roman" w:hAnsi="Times New Roman"/>
                      <w:color w:val="000000" w:themeColor="text1"/>
                      <w:highlight w:val="none"/>
                      <w:lang w:val="en-US" w:eastAsia="zh-CN"/>
                      <w14:textFill>
                        <w14:solidFill>
                          <w14:schemeClr w14:val="tx1"/>
                        </w14:solidFill>
                      </w14:textFill>
                    </w:rPr>
                    <w:t>因此</w:t>
                  </w:r>
                  <w:r>
                    <w:rPr>
                      <w:rFonts w:hint="default" w:ascii="Times New Roman" w:hAnsi="Times New Roman" w:eastAsia="宋体" w:cs="Times New Roman"/>
                      <w:color w:val="000000" w:themeColor="text1"/>
                      <w:highlight w:val="none"/>
                      <w14:textFill>
                        <w14:solidFill>
                          <w14:schemeClr w14:val="tx1"/>
                        </w14:solidFill>
                      </w14:textFill>
                    </w:rPr>
                    <w:t>项目</w:t>
                  </w:r>
                  <w:r>
                    <w:rPr>
                      <w:rFonts w:hint="eastAsia" w:cs="Times New Roman"/>
                      <w:color w:val="000000" w:themeColor="text1"/>
                      <w:highlight w:val="none"/>
                      <w:lang w:val="en-US" w:eastAsia="zh-CN"/>
                      <w14:textFill>
                        <w14:solidFill>
                          <w14:schemeClr w14:val="tx1"/>
                        </w14:solidFill>
                      </w14:textFill>
                    </w:rPr>
                    <w:t>脱模废气通过集气罩收集</w:t>
                  </w:r>
                  <w:r>
                    <w:rPr>
                      <w:rFonts w:hint="default" w:ascii="Times New Roman" w:hAnsi="Times New Roman" w:eastAsia="宋体" w:cs="Times New Roman"/>
                      <w:color w:val="000000" w:themeColor="text1"/>
                      <w:highlight w:val="none"/>
                      <w14:textFill>
                        <w14:solidFill>
                          <w14:schemeClr w14:val="tx1"/>
                        </w14:solidFill>
                      </w14:textFill>
                    </w:rPr>
                    <w:t>，控制风速</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为0.</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14:textFill>
                        <w14:solidFill>
                          <w14:schemeClr w14:val="tx1"/>
                        </w14:solidFill>
                      </w14:textFill>
                    </w:rPr>
                    <w:t>米/秒</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不低于0.3米/秒</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集气罩</w:t>
                  </w:r>
                  <w:r>
                    <w:rPr>
                      <w:rFonts w:hint="default" w:ascii="Times New Roman" w:hAnsi="Times New Roman" w:eastAsia="宋体" w:cs="Times New Roman"/>
                      <w:color w:val="000000" w:themeColor="text1"/>
                      <w:highlight w:val="none"/>
                      <w14:textFill>
                        <w14:solidFill>
                          <w14:schemeClr w14:val="tx1"/>
                        </w14:solidFill>
                      </w14:textFill>
                    </w:rPr>
                    <w:t>收集效率本项目取30%</w:t>
                  </w:r>
                  <w:r>
                    <w:rPr>
                      <w:rFonts w:hint="eastAsia" w:cs="Times New Roman"/>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钻孔攻牙</w:t>
                  </w:r>
                  <w:r>
                    <w:rPr>
                      <w:rFonts w:hint="eastAsia" w:ascii="Times New Roman" w:hAnsi="Times New Roman"/>
                      <w:color w:val="000000" w:themeColor="text1"/>
                      <w:highlight w:val="none"/>
                      <w:lang w:val="en-US" w:eastAsia="zh-CN"/>
                      <w14:textFill>
                        <w14:solidFill>
                          <w14:schemeClr w14:val="tx1"/>
                        </w14:solidFill>
                      </w14:textFill>
                    </w:rPr>
                    <w:t>工序</w:t>
                  </w:r>
                  <w:r>
                    <w:rPr>
                      <w:rFonts w:hint="eastAsia"/>
                      <w:color w:val="000000" w:themeColor="text1"/>
                      <w:highlight w:val="none"/>
                      <w:lang w:val="en-US" w:eastAsia="zh-CN"/>
                      <w14:textFill>
                        <w14:solidFill>
                          <w14:schemeClr w14:val="tx1"/>
                        </w14:solidFill>
                      </w14:textFill>
                    </w:rPr>
                    <w:t>和机加工工序</w:t>
                  </w:r>
                  <w:r>
                    <w:rPr>
                      <w:rFonts w:hint="eastAsia" w:ascii="Times New Roman" w:hAnsi="Times New Roman"/>
                      <w:color w:val="000000" w:themeColor="text1"/>
                      <w:highlight w:val="none"/>
                      <w:lang w:val="en-US" w:eastAsia="zh-CN"/>
                      <w14:textFill>
                        <w14:solidFill>
                          <w14:schemeClr w14:val="tx1"/>
                        </w14:solidFill>
                      </w14:textFill>
                    </w:rPr>
                    <w:t>使用切削液</w:t>
                  </w:r>
                  <w:r>
                    <w:rPr>
                      <w:rFonts w:hint="eastAsia"/>
                      <w:color w:val="000000" w:themeColor="text1"/>
                      <w:highlight w:val="none"/>
                      <w:lang w:val="en-US" w:eastAsia="zh-CN"/>
                      <w14:textFill>
                        <w14:solidFill>
                          <w14:schemeClr w14:val="tx1"/>
                        </w14:solidFill>
                      </w14:textFill>
                    </w:rPr>
                    <w:t>、火花油</w:t>
                  </w:r>
                  <w:r>
                    <w:rPr>
                      <w:rFonts w:hint="eastAsia" w:ascii="Times New Roman" w:hAnsi="Times New Roman"/>
                      <w:color w:val="000000" w:themeColor="text1"/>
                      <w:highlight w:val="none"/>
                      <w:lang w:val="en-US" w:eastAsia="zh-CN"/>
                      <w14:textFill>
                        <w14:solidFill>
                          <w14:schemeClr w14:val="tx1"/>
                        </w14:solidFill>
                      </w14:textFill>
                    </w:rPr>
                    <w:t>产生的</w:t>
                  </w:r>
                  <w:r>
                    <w:rPr>
                      <w:rFonts w:ascii="Times New Roman" w:hAnsi="Times New Roman"/>
                      <w:color w:val="000000" w:themeColor="text1"/>
                      <w:highlight w:val="none"/>
                      <w14:textFill>
                        <w14:solidFill>
                          <w14:schemeClr w14:val="tx1"/>
                        </w14:solidFill>
                      </w14:textFill>
                    </w:rPr>
                    <w:t>VOCs废气</w:t>
                  </w:r>
                  <w:r>
                    <w:rPr>
                      <w:rFonts w:hint="eastAsia" w:ascii="Times New Roman" w:hAnsi="Times New Roman"/>
                      <w:color w:val="000000" w:themeColor="text1"/>
                      <w:highlight w:val="none"/>
                      <w:lang w:val="en-US" w:eastAsia="zh-CN"/>
                      <w14:textFill>
                        <w14:solidFill>
                          <w14:schemeClr w14:val="tx1"/>
                        </w14:solidFill>
                      </w14:textFill>
                    </w:rPr>
                    <w:t>较少，涉及生产设备数量较多，车间面积较大，难以收集，因此</w:t>
                  </w:r>
                  <w:r>
                    <w:rPr>
                      <w:rFonts w:hint="eastAsia"/>
                      <w:color w:val="000000" w:themeColor="text1"/>
                      <w:highlight w:val="none"/>
                      <w:lang w:val="en-US" w:eastAsia="zh-CN"/>
                      <w14:textFill>
                        <w14:solidFill>
                          <w14:schemeClr w14:val="tx1"/>
                        </w14:solidFill>
                      </w14:textFill>
                    </w:rPr>
                    <w:t>钻孔攻牙</w:t>
                  </w:r>
                  <w:r>
                    <w:rPr>
                      <w:rFonts w:hint="eastAsia" w:ascii="Times New Roman" w:hAnsi="Times New Roman"/>
                      <w:color w:val="000000" w:themeColor="text1"/>
                      <w:highlight w:val="none"/>
                      <w:lang w:val="en-US" w:eastAsia="zh-CN"/>
                      <w14:textFill>
                        <w14:solidFill>
                          <w14:schemeClr w14:val="tx1"/>
                        </w14:solidFill>
                      </w14:textFill>
                    </w:rPr>
                    <w:t>废气</w:t>
                  </w:r>
                  <w:r>
                    <w:rPr>
                      <w:rFonts w:hint="eastAsia"/>
                      <w:color w:val="000000" w:themeColor="text1"/>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机加工废气</w:t>
                  </w:r>
                  <w:r>
                    <w:rPr>
                      <w:rFonts w:hint="eastAsia" w:ascii="Arial" w:hAnsi="Arial" w:eastAsia="宋体"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加强车间通风无组织排放，收集效率为</w:t>
                  </w:r>
                  <w:r>
                    <w:rPr>
                      <w:rFonts w:hint="default" w:ascii="Times New Roman" w:hAnsi="Times New Roman" w:eastAsia="宋体" w:cs="Times New Roman"/>
                      <w:i w:val="0"/>
                      <w:iCs w:val="0"/>
                      <w:caps w:val="0"/>
                      <w:color w:val="000000" w:themeColor="text1"/>
                      <w:spacing w:val="0"/>
                      <w:sz w:val="21"/>
                      <w:szCs w:val="21"/>
                      <w:highlight w:val="none"/>
                      <w:shd w:val="clear" w:color="auto" w:fill="FFFFFF"/>
                      <w:lang w:val="en-US" w:eastAsia="zh-CN"/>
                      <w14:textFill>
                        <w14:solidFill>
                          <w14:schemeClr w14:val="tx1"/>
                        </w14:solidFill>
                      </w14:textFill>
                    </w:rPr>
                    <w:t>0%</w:t>
                  </w:r>
                  <w:r>
                    <w:rPr>
                      <w:rFonts w:hint="eastAsia" w:ascii="Arial" w:hAnsi="Arial" w:eastAsia="宋体"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w:t>
                  </w:r>
                </w:p>
              </w:tc>
              <w:tc>
                <w:tcPr>
                  <w:tcW w:w="396" w:type="pct"/>
                  <w:vMerge w:val="continue"/>
                  <w:tcBorders>
                    <w:bottom w:val="single" w:color="auto" w:sz="4" w:space="0"/>
                  </w:tcBorders>
                  <w:noWrap w:val="0"/>
                  <w:vAlign w:val="center"/>
                </w:tcPr>
                <w:p w14:paraId="1C141DEE">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0D896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1" w:hRule="atLeast"/>
              </w:trPr>
              <w:tc>
                <w:tcPr>
                  <w:tcW w:w="266" w:type="pct"/>
                  <w:vMerge w:val="continue"/>
                  <w:noWrap w:val="0"/>
                  <w:vAlign w:val="center"/>
                </w:tcPr>
                <w:p w14:paraId="718641B3">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54" w:type="pct"/>
                  <w:vMerge w:val="continue"/>
                  <w:noWrap w:val="0"/>
                  <w:vAlign w:val="center"/>
                </w:tcPr>
                <w:p w14:paraId="250F21BB">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709" w:type="pct"/>
                  <w:noWrap w:val="0"/>
                  <w:vAlign w:val="center"/>
                </w:tcPr>
                <w:p w14:paraId="36BA68C0">
                  <w:pPr>
                    <w:keepNext w:val="0"/>
                    <w:keepLines w:val="0"/>
                    <w:widowControl/>
                    <w:suppressLineNumbers w:val="0"/>
                    <w:jc w:val="left"/>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第十三条涉</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VOCs</w:t>
                  </w:r>
                  <w:r>
                    <w:rPr>
                      <w:rFonts w:hint="eastAsia" w:ascii="宋体" w:hAnsi="宋体" w:eastAsia="宋体" w:cs="宋体"/>
                      <w:color w:val="000000" w:themeColor="text1"/>
                      <w:kern w:val="0"/>
                      <w:sz w:val="21"/>
                      <w:szCs w:val="21"/>
                      <w:lang w:val="en-US" w:eastAsia="zh-CN" w:bidi="ar"/>
                      <w14:textFill>
                        <w14:solidFill>
                          <w14:schemeClr w14:val="tx1"/>
                        </w14:solidFill>
                      </w14:textFill>
                    </w:rPr>
                    <w:t>产排企业应建设适宜、合理、高效的治污设施，</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VOCs</w:t>
                  </w:r>
                  <w:r>
                    <w:rPr>
                      <w:rFonts w:hint="eastAsia" w:ascii="宋体" w:hAnsi="宋体" w:eastAsia="宋体" w:cs="宋体"/>
                      <w:color w:val="000000" w:themeColor="text1"/>
                      <w:kern w:val="0"/>
                      <w:sz w:val="21"/>
                      <w:szCs w:val="21"/>
                      <w:lang w:val="en-US" w:eastAsia="zh-CN" w:bidi="ar"/>
                      <w14:textFill>
                        <w14:solidFill>
                          <w14:schemeClr w14:val="tx1"/>
                        </w14:solidFill>
                      </w14:textFill>
                    </w:rPr>
                    <w:t>废气总净化效率不应低于</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90%</w:t>
                  </w:r>
                  <w:r>
                    <w:rPr>
                      <w:rFonts w:hint="eastAsia" w:ascii="宋体" w:hAnsi="宋体" w:eastAsia="宋体" w:cs="宋体"/>
                      <w:color w:val="000000" w:themeColor="text1"/>
                      <w:kern w:val="0"/>
                      <w:sz w:val="21"/>
                      <w:szCs w:val="21"/>
                      <w:lang w:val="en-US" w:eastAsia="zh-CN" w:bidi="ar"/>
                      <w14:textFill>
                        <w14:solidFill>
                          <w14:schemeClr w14:val="tx1"/>
                        </w14:solidFill>
                      </w14:textFill>
                    </w:rPr>
                    <w:t>。由于技术可行性等因素，确实达不到</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90%</w:t>
                  </w:r>
                  <w:r>
                    <w:rPr>
                      <w:rFonts w:hint="eastAsia" w:ascii="宋体" w:hAnsi="宋体" w:eastAsia="宋体" w:cs="宋体"/>
                      <w:color w:val="000000" w:themeColor="text1"/>
                      <w:kern w:val="0"/>
                      <w:sz w:val="21"/>
                      <w:szCs w:val="21"/>
                      <w:lang w:val="en-US" w:eastAsia="zh-CN" w:bidi="ar"/>
                      <w14:textFill>
                        <w14:solidFill>
                          <w14:schemeClr w14:val="tx1"/>
                        </w14:solidFill>
                      </w14:textFill>
                    </w:rPr>
                    <w:t>的，需在环评报告中充分论述并确定处理效率要求。</w:t>
                  </w:r>
                </w:p>
              </w:tc>
              <w:tc>
                <w:tcPr>
                  <w:tcW w:w="1773" w:type="pct"/>
                  <w:gridSpan w:val="2"/>
                  <w:vMerge w:val="restart"/>
                  <w:noWrap w:val="0"/>
                  <w:vAlign w:val="center"/>
                </w:tcPr>
                <w:p w14:paraId="1ADAF012">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项目脱模过程不涉及使用非低(无)VOCs原辅材料，收集的脱模废气NMHC产生速率0.0188kg/h,小于3kgh，NMHC无组织排放能达到控制点处任意一点的浓度值&lt;30mg/m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，符合有关排放标准，具有可行性，对周边环境影响不大，因此末端治理设施不作硬性要求。</w:t>
                  </w:r>
                </w:p>
              </w:tc>
              <w:tc>
                <w:tcPr>
                  <w:tcW w:w="396" w:type="pct"/>
                  <w:vMerge w:val="restart"/>
                  <w:noWrap w:val="0"/>
                  <w:vAlign w:val="center"/>
                </w:tcPr>
                <w:p w14:paraId="62B347B8">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符合</w:t>
                  </w:r>
                </w:p>
              </w:tc>
            </w:tr>
            <w:tr w14:paraId="2BCE2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1" w:hRule="atLeast"/>
              </w:trPr>
              <w:tc>
                <w:tcPr>
                  <w:tcW w:w="266" w:type="pct"/>
                  <w:vMerge w:val="continue"/>
                  <w:noWrap w:val="0"/>
                  <w:vAlign w:val="center"/>
                </w:tcPr>
                <w:p w14:paraId="5B7117FD">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54" w:type="pct"/>
                  <w:vMerge w:val="continue"/>
                  <w:noWrap w:val="0"/>
                  <w:vAlign w:val="center"/>
                </w:tcPr>
                <w:p w14:paraId="529A29ED">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709" w:type="pct"/>
                  <w:noWrap w:val="0"/>
                  <w:vAlign w:val="center"/>
                </w:tcPr>
                <w:p w14:paraId="60F1BDD8">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第二十九条为鼓励和推进源头替代，对于使用低(无)VOCs原辅材料的，且全部收集的废气NMHC初始排放速率&lt;3kgh的，在确保NMHC的无组织排放控制点任意次浓度值&lt;30mgm，并符合有关排放标准、环境可行的前提下，末端治理设施不作硬性要求。</w:t>
                  </w:r>
                </w:p>
              </w:tc>
              <w:tc>
                <w:tcPr>
                  <w:tcW w:w="1773" w:type="pct"/>
                  <w:gridSpan w:val="2"/>
                  <w:vMerge w:val="continue"/>
                  <w:noWrap w:val="0"/>
                  <w:vAlign w:val="center"/>
                </w:tcPr>
                <w:p w14:paraId="00D32DA3">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396" w:type="pct"/>
                  <w:vMerge w:val="continue"/>
                  <w:tcBorders>
                    <w:bottom w:val="single" w:color="auto" w:sz="4" w:space="0"/>
                  </w:tcBorders>
                  <w:noWrap w:val="0"/>
                  <w:vAlign w:val="center"/>
                </w:tcPr>
                <w:p w14:paraId="03AA258E">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78BE8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restart"/>
                  <w:noWrap w:val="0"/>
                  <w:vAlign w:val="center"/>
                </w:tcPr>
                <w:p w14:paraId="5D5897BC">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6</w:t>
                  </w:r>
                </w:p>
              </w:tc>
              <w:tc>
                <w:tcPr>
                  <w:tcW w:w="854" w:type="pct"/>
                  <w:vMerge w:val="restart"/>
                  <w:noWrap w:val="0"/>
                  <w:vAlign w:val="center"/>
                </w:tcPr>
                <w:p w14:paraId="08368A93">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广东省地方标准《固定污染源挥发性有机物综合排放标准》（DB44/2367—2022）</w:t>
                  </w:r>
                </w:p>
              </w:tc>
              <w:tc>
                <w:tcPr>
                  <w:tcW w:w="1709" w:type="pct"/>
                  <w:noWrap w:val="0"/>
                  <w:vAlign w:val="center"/>
                </w:tcPr>
                <w:p w14:paraId="3B89688B">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VOCs物料应储存于密闭的容器、包装袋、储罐、储库、料仓中。盛装VOCs物料的容器或包装袋应存放于室内，或存于设置有雨棚、遮阳和防渗设施的专用场地。盛装VOCs物料的容器或包装袋在非取用状态时应加盖、封口，保持密闭。</w:t>
                  </w:r>
                </w:p>
              </w:tc>
              <w:tc>
                <w:tcPr>
                  <w:tcW w:w="1773" w:type="pct"/>
                  <w:gridSpan w:val="2"/>
                  <w:tcBorders>
                    <w:right w:val="single" w:color="auto" w:sz="4" w:space="0"/>
                  </w:tcBorders>
                  <w:noWrap w:val="0"/>
                  <w:vAlign w:val="center"/>
                </w:tcPr>
                <w:p w14:paraId="709A14F1">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项目</w:t>
                  </w:r>
                  <w:r>
                    <w:rPr>
                      <w:rFonts w:hint="eastAsia" w:cs="Times New Roman"/>
                      <w:color w:val="000000" w:themeColor="text1"/>
                      <w:highlight w:val="none"/>
                      <w:lang w:val="en-US" w:eastAsia="zh-CN"/>
                      <w14:textFill>
                        <w14:solidFill>
                          <w14:schemeClr w14:val="tx1"/>
                        </w14:solidFill>
                      </w14:textFill>
                    </w:rPr>
                    <w:t>液体</w:t>
                  </w:r>
                  <w:r>
                    <w:rPr>
                      <w:rFonts w:hint="default" w:ascii="Times New Roman" w:hAnsi="Times New Roman" w:eastAsia="宋体" w:cs="Times New Roman"/>
                      <w:color w:val="000000" w:themeColor="text1"/>
                      <w:highlight w:val="none"/>
                      <w14:textFill>
                        <w14:solidFill>
                          <w14:schemeClr w14:val="tx1"/>
                        </w14:solidFill>
                      </w14:textFill>
                    </w:rPr>
                    <w:t>VOCs物料采用密闭的包装</w:t>
                  </w:r>
                  <w:r>
                    <w:rPr>
                      <w:rFonts w:hint="eastAsia" w:cs="Times New Roman"/>
                      <w:color w:val="000000" w:themeColor="text1"/>
                      <w:highlight w:val="none"/>
                      <w:lang w:val="en-US" w:eastAsia="zh-CN"/>
                      <w14:textFill>
                        <w14:solidFill>
                          <w14:schemeClr w14:val="tx1"/>
                        </w14:solidFill>
                      </w14:textFill>
                    </w:rPr>
                    <w:t>桶</w:t>
                  </w:r>
                  <w:r>
                    <w:rPr>
                      <w:rFonts w:hint="default" w:ascii="Times New Roman" w:hAnsi="Times New Roman" w:eastAsia="宋体" w:cs="Times New Roman"/>
                      <w:color w:val="000000" w:themeColor="text1"/>
                      <w:highlight w:val="none"/>
                      <w14:textFill>
                        <w14:solidFill>
                          <w14:schemeClr w14:val="tx1"/>
                        </w14:solidFill>
                      </w14:textFill>
                    </w:rPr>
                    <w:t>、含VOCs危险废物采用密闭桶存放，存放在设置有</w:t>
                  </w:r>
                  <w:r>
                    <w:rPr>
                      <w:rFonts w:hint="default" w:ascii="Times New Roman" w:hAnsi="Times New Roman" w:eastAsia="宋体" w:cs="Times New Roman"/>
                      <w:color w:val="000000" w:themeColor="text1"/>
                      <w:highlight w:val="none"/>
                      <w:lang w:val="en-US" w:eastAsia="zh-CN"/>
                      <w14:textFill>
                        <w14:solidFill>
                          <w14:schemeClr w14:val="tx1"/>
                        </w14:solidFill>
                      </w14:textFill>
                    </w:rPr>
                    <w:t>防风防雨、</w:t>
                  </w:r>
                  <w:r>
                    <w:rPr>
                      <w:rFonts w:hint="default" w:ascii="Times New Roman" w:hAnsi="Times New Roman" w:eastAsia="宋体" w:cs="Times New Roman"/>
                      <w:color w:val="000000" w:themeColor="text1"/>
                      <w:highlight w:val="none"/>
                      <w14:textFill>
                        <w14:solidFill>
                          <w14:schemeClr w14:val="tx1"/>
                        </w14:solidFill>
                      </w14:textFill>
                    </w:rPr>
                    <w:t>遮阳和防渗设施的专用场地。</w:t>
                  </w:r>
                </w:p>
              </w:tc>
              <w:tc>
                <w:tcPr>
                  <w:tcW w:w="396" w:type="pct"/>
                  <w:vMerge w:val="restart"/>
                  <w:tcBorders>
                    <w:top w:val="single" w:color="auto" w:sz="4" w:space="0"/>
                    <w:left w:val="single" w:color="auto" w:sz="4" w:space="0"/>
                    <w:right w:val="single" w:color="auto" w:sz="4" w:space="0"/>
                  </w:tcBorders>
                  <w:noWrap w:val="0"/>
                  <w:vAlign w:val="center"/>
                </w:tcPr>
                <w:p w14:paraId="7F11983F">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33B79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continue"/>
                  <w:noWrap w:val="0"/>
                  <w:vAlign w:val="center"/>
                </w:tcPr>
                <w:p w14:paraId="678E1804">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54" w:type="pct"/>
                  <w:vMerge w:val="continue"/>
                  <w:noWrap w:val="0"/>
                  <w:vAlign w:val="center"/>
                </w:tcPr>
                <w:p w14:paraId="59251D8E">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709" w:type="pct"/>
                  <w:noWrap w:val="0"/>
                  <w:vAlign w:val="center"/>
                </w:tcPr>
                <w:p w14:paraId="34071E45">
                  <w:pPr>
                    <w:shd w:val="clear"/>
                    <w:bidi w:val="0"/>
                    <w:spacing w:line="240" w:lineRule="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VOCs物料转移和输送无组织排放控制要求：①液态VOCs物料应采用密闭管道输送。采用非管道输送方式转移液态VOCs物料时应采用密闭容器、罐车</w:t>
                  </w:r>
                  <w:r>
                    <w:rPr>
                      <w:rFonts w:hint="eastAsia" w:cs="Times New Roman"/>
                      <w:color w:val="000000" w:themeColor="text1"/>
                      <w:highlight w:val="none"/>
                      <w:lang w:eastAsia="zh-CN"/>
                      <w14:textFill>
                        <w14:solidFill>
                          <w14:schemeClr w14:val="tx1"/>
                        </w14:solidFill>
                      </w14:textFill>
                    </w:rPr>
                    <w:t>。</w:t>
                  </w:r>
                </w:p>
              </w:tc>
              <w:tc>
                <w:tcPr>
                  <w:tcW w:w="1773" w:type="pct"/>
                  <w:gridSpan w:val="2"/>
                  <w:tcBorders>
                    <w:right w:val="single" w:color="auto" w:sz="4" w:space="0"/>
                  </w:tcBorders>
                  <w:noWrap w:val="0"/>
                  <w:vAlign w:val="center"/>
                </w:tcPr>
                <w:p w14:paraId="708A96F4">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项目</w:t>
                  </w:r>
                  <w:r>
                    <w:rPr>
                      <w:rFonts w:hint="eastAsia" w:cs="Times New Roman"/>
                      <w:color w:val="000000" w:themeColor="text1"/>
                      <w:highlight w:val="none"/>
                      <w:lang w:val="en-US" w:eastAsia="zh-CN"/>
                      <w14:textFill>
                        <w14:solidFill>
                          <w14:schemeClr w14:val="tx1"/>
                        </w14:solidFill>
                      </w14:textFill>
                    </w:rPr>
                    <w:t>液体</w:t>
                  </w:r>
                  <w:r>
                    <w:rPr>
                      <w:rFonts w:hint="default" w:ascii="Times New Roman" w:hAnsi="Times New Roman" w:eastAsia="宋体" w:cs="Times New Roman"/>
                      <w:color w:val="000000" w:themeColor="text1"/>
                      <w:highlight w:val="none"/>
                      <w14:textFill>
                        <w14:solidFill>
                          <w14:schemeClr w14:val="tx1"/>
                        </w14:solidFill>
                      </w14:textFill>
                    </w:rPr>
                    <w:t>VOCs物料、含VOCs危险废物</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采用密闭的容器进行物料转移</w:t>
                  </w:r>
                  <w:r>
                    <w:rPr>
                      <w:rFonts w:hint="default" w:ascii="Times New Roman" w:hAnsi="Times New Roman" w:eastAsia="宋体" w:cs="Times New Roman"/>
                      <w:color w:val="000000" w:themeColor="text1"/>
                      <w:highlight w:val="none"/>
                      <w:lang w:eastAsia="zh-CN"/>
                      <w14:textFill>
                        <w14:solidFill>
                          <w14:schemeClr w14:val="tx1"/>
                        </w14:solidFill>
                      </w14:textFill>
                    </w:rPr>
                    <w:t>。</w:t>
                  </w:r>
                </w:p>
              </w:tc>
              <w:tc>
                <w:tcPr>
                  <w:tcW w:w="396" w:type="pct"/>
                  <w:vMerge w:val="continue"/>
                  <w:tcBorders>
                    <w:left w:val="single" w:color="auto" w:sz="4" w:space="0"/>
                    <w:right w:val="single" w:color="auto" w:sz="4" w:space="0"/>
                  </w:tcBorders>
                  <w:noWrap w:val="0"/>
                  <w:vAlign w:val="center"/>
                </w:tcPr>
                <w:p w14:paraId="15817578">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501E9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continue"/>
                  <w:noWrap w:val="0"/>
                  <w:vAlign w:val="center"/>
                </w:tcPr>
                <w:p w14:paraId="0704678C">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54" w:type="pct"/>
                  <w:vMerge w:val="continue"/>
                  <w:noWrap w:val="0"/>
                  <w:vAlign w:val="center"/>
                </w:tcPr>
                <w:p w14:paraId="488BB574">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709" w:type="pct"/>
                  <w:noWrap w:val="0"/>
                  <w:vAlign w:val="center"/>
                </w:tcPr>
                <w:p w14:paraId="1CAC981B">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工艺过程VOCs无组织排放控制要求：物料投放和卸放：①液态VOCs物料应采用密封管道输送方式或采用高位槽（罐）、桶泵等加料方式密封投加。无法密闭投加的，应在密闭空间内操作，或进行局部气体收集，废气应排至VOCs废气收集处理系统。②粉状、粒状VOCs物料应采用气力输送方式或采用密闭固体投料器等给料方式密闭投加。无法密闭投加的，应在密闭空间内操作，或进行局部气体收集，废气应排至除尘设施、VOCs废气收集处理系统。③VOCs物料卸（出、放）料过程应密闭，卸料废气应排至VOCs废气收集处理系统；无法密闭的，应采取局部气体收集措施，废气应排至VOCs废气收集处理系统。</w:t>
                  </w:r>
                </w:p>
              </w:tc>
              <w:tc>
                <w:tcPr>
                  <w:tcW w:w="1773" w:type="pct"/>
                  <w:gridSpan w:val="2"/>
                  <w:tcBorders>
                    <w:right w:val="single" w:color="auto" w:sz="4" w:space="0"/>
                  </w:tcBorders>
                  <w:noWrap w:val="0"/>
                  <w:vAlign w:val="center"/>
                </w:tcPr>
                <w:p w14:paraId="51E5F304">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eastAsia" w:eastAsia="宋体" w:cs="Times New Roman"/>
                      <w:color w:val="000000" w:themeColor="text1"/>
                      <w:kern w:val="2"/>
                      <w:sz w:val="21"/>
                      <w:szCs w:val="21"/>
                      <w:highlight w:val="none"/>
                      <w:lang w:val="en-US" w:eastAsia="zh-CN" w:bidi="ar-SA"/>
                      <w14:textFill>
                        <w14:solidFill>
                          <w14:schemeClr w14:val="tx1"/>
                        </w14:solidFill>
                      </w14:textFill>
                    </w:rPr>
                    <w:t>钻孔攻牙</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工序切削液使用过程在密闭空间内操作，</w:t>
                  </w:r>
                  <w:r>
                    <w:rPr>
                      <w:rFonts w:hint="eastAsia" w:eastAsia="宋体" w:cs="Times New Roman"/>
                      <w:color w:val="000000" w:themeColor="text1"/>
                      <w:kern w:val="2"/>
                      <w:sz w:val="21"/>
                      <w:szCs w:val="21"/>
                      <w:highlight w:val="none"/>
                      <w:lang w:val="en-US" w:eastAsia="zh-CN" w:bidi="ar-SA"/>
                      <w14:textFill>
                        <w14:solidFill>
                          <w14:schemeClr w14:val="tx1"/>
                        </w14:solidFill>
                      </w14:textFill>
                    </w:rPr>
                    <w:t>机加工</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工序</w:t>
                  </w:r>
                  <w:r>
                    <w:rPr>
                      <w:rFonts w:hint="eastAsia" w:eastAsia="宋体" w:cs="Times New Roman"/>
                      <w:color w:val="000000" w:themeColor="text1"/>
                      <w:kern w:val="2"/>
                      <w:sz w:val="21"/>
                      <w:szCs w:val="21"/>
                      <w:highlight w:val="none"/>
                      <w:lang w:val="en-US" w:eastAsia="zh-CN" w:bidi="ar-SA"/>
                      <w14:textFill>
                        <w14:solidFill>
                          <w14:schemeClr w14:val="tx1"/>
                        </w14:solidFill>
                      </w14:textFill>
                    </w:rPr>
                    <w:t>火花油</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采用桶泵等加料方式密封投加</w:t>
                  </w:r>
                  <w:r>
                    <w:rPr>
                      <w:rFonts w:hint="eastAsia"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脱模剂有机废气局部气体收集，并排放至VOCs废气收集处理系统。</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项目不涉及</w:t>
                  </w:r>
                  <w:r>
                    <w:rPr>
                      <w:rFonts w:ascii="Times New Roman" w:hAnsi="Times New Roman" w:eastAsia="宋体" w:cs="Times New Roman"/>
                      <w:color w:val="000000" w:themeColor="text1"/>
                      <w:sz w:val="21"/>
                      <w:szCs w:val="21"/>
                      <w:highlight w:val="none"/>
                      <w14:textFill>
                        <w14:solidFill>
                          <w14:schemeClr w14:val="tx1"/>
                        </w14:solidFill>
                      </w14:textFill>
                    </w:rPr>
                    <w:t>粉状、</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粒状</w:t>
                  </w:r>
                  <w:r>
                    <w:rPr>
                      <w:rFonts w:ascii="Times New Roman" w:hAnsi="Times New Roman" w:eastAsia="宋体" w:cs="Times New Roman"/>
                      <w:color w:val="000000" w:themeColor="text1"/>
                      <w:sz w:val="21"/>
                      <w:szCs w:val="21"/>
                      <w:highlight w:val="none"/>
                      <w14:textFill>
                        <w14:solidFill>
                          <w14:schemeClr w14:val="tx1"/>
                        </w14:solidFill>
                      </w14:textFill>
                    </w:rPr>
                    <w:t>VOCs</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原辅材料。</w:t>
                  </w:r>
                </w:p>
              </w:tc>
              <w:tc>
                <w:tcPr>
                  <w:tcW w:w="396" w:type="pct"/>
                  <w:vMerge w:val="continue"/>
                  <w:tcBorders>
                    <w:left w:val="single" w:color="auto" w:sz="4" w:space="0"/>
                    <w:right w:val="single" w:color="auto" w:sz="4" w:space="0"/>
                  </w:tcBorders>
                  <w:noWrap w:val="0"/>
                  <w:vAlign w:val="center"/>
                </w:tcPr>
                <w:p w14:paraId="23B05B77">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61998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continue"/>
                  <w:noWrap w:val="0"/>
                  <w:vAlign w:val="center"/>
                </w:tcPr>
                <w:p w14:paraId="619CB5FA">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54" w:type="pct"/>
                  <w:vMerge w:val="continue"/>
                  <w:noWrap w:val="0"/>
                  <w:vAlign w:val="center"/>
                </w:tcPr>
                <w:p w14:paraId="4F8F8C75">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709" w:type="pct"/>
                  <w:noWrap w:val="0"/>
                  <w:vAlign w:val="center"/>
                </w:tcPr>
                <w:p w14:paraId="7B086105">
                  <w:pPr>
                    <w:shd w:val="clear"/>
                    <w:bidi w:val="0"/>
                    <w:spacing w:line="240" w:lineRule="auto"/>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含VOCs产品的使用过程：VOCs质量占比大于等于10%的含VOCs产品，其使用过程应采用密闭设备或在密闭空间内操作，废气应排至VOCs废气收集处理系统；无法密闭的，应采取局部气体收集措施，废气应排至VOCs废气收集处理系统。</w:t>
                  </w:r>
                </w:p>
              </w:tc>
              <w:tc>
                <w:tcPr>
                  <w:tcW w:w="1773" w:type="pct"/>
                  <w:gridSpan w:val="2"/>
                  <w:tcBorders>
                    <w:right w:val="single" w:color="auto" w:sz="4" w:space="0"/>
                  </w:tcBorders>
                  <w:noWrap w:val="0"/>
                  <w:vAlign w:val="center"/>
                </w:tcPr>
                <w:p w14:paraId="3697F176">
                  <w:pPr>
                    <w:shd w:val="clear"/>
                    <w:bidi w:val="0"/>
                    <w:spacing w:line="240" w:lineRule="auto"/>
                    <w:rPr>
                      <w:rFonts w:hint="default"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2"/>
                      <w:sz w:val="21"/>
                      <w:szCs w:val="21"/>
                      <w:highlight w:val="none"/>
                      <w:lang w:val="en-US" w:eastAsia="zh-CN" w:bidi="ar-SA"/>
                      <w14:textFill>
                        <w14:solidFill>
                          <w14:schemeClr w14:val="tx1"/>
                        </w14:solidFill>
                      </w14:textFill>
                    </w:rPr>
                    <w:t>项目使用的脱模剂VOCs含量为5%，</w:t>
                  </w:r>
                  <w:r>
                    <w:rPr>
                      <w:rFonts w:ascii="Times New Roman" w:hAnsi="Times New Roman" w:eastAsia="宋体" w:cs="Times New Roman"/>
                      <w:color w:val="000000" w:themeColor="text1"/>
                      <w:sz w:val="21"/>
                      <w:szCs w:val="21"/>
                      <w:highlight w:val="none"/>
                      <w14:textFill>
                        <w14:solidFill>
                          <w14:schemeClr w14:val="tx1"/>
                        </w14:solidFill>
                      </w14:textFill>
                    </w:rPr>
                    <w:t>VOCs质量占比</w:t>
                  </w:r>
                  <w:r>
                    <w:rPr>
                      <w:rFonts w:hint="eastAsia" w:eastAsia="宋体" w:cs="Times New Roman"/>
                      <w:color w:val="000000" w:themeColor="text1"/>
                      <w:sz w:val="21"/>
                      <w:szCs w:val="21"/>
                      <w:highlight w:val="none"/>
                      <w:lang w:val="en-US" w:eastAsia="zh-CN"/>
                      <w14:textFill>
                        <w14:solidFill>
                          <w14:schemeClr w14:val="tx1"/>
                        </w14:solidFill>
                      </w14:textFill>
                    </w:rPr>
                    <w:t>小于</w:t>
                  </w:r>
                  <w:r>
                    <w:rPr>
                      <w:rFonts w:ascii="Times New Roman" w:hAnsi="Times New Roman" w:eastAsia="宋体" w:cs="Times New Roman"/>
                      <w:color w:val="000000" w:themeColor="text1"/>
                      <w:sz w:val="21"/>
                      <w:szCs w:val="21"/>
                      <w:highlight w:val="none"/>
                      <w14:textFill>
                        <w14:solidFill>
                          <w14:schemeClr w14:val="tx1"/>
                        </w14:solidFill>
                      </w14:textFill>
                    </w:rPr>
                    <w:t>10%</w:t>
                  </w:r>
                  <w:r>
                    <w:rPr>
                      <w:rFonts w:hint="eastAsia" w:eastAsia="宋体" w:cs="Times New Roman"/>
                      <w:color w:val="000000" w:themeColor="text1"/>
                      <w:sz w:val="21"/>
                      <w:szCs w:val="21"/>
                      <w:highlight w:val="none"/>
                      <w:lang w:eastAsia="zh-CN"/>
                      <w14:textFill>
                        <w14:solidFill>
                          <w14:schemeClr w14:val="tx1"/>
                        </w14:solidFill>
                      </w14:textFill>
                    </w:rPr>
                    <w:t>，</w:t>
                  </w:r>
                  <w:r>
                    <w:rPr>
                      <w:rFonts w:hint="eastAsia" w:eastAsia="宋体" w:cs="Times New Roman"/>
                      <w:color w:val="000000" w:themeColor="text1"/>
                      <w:sz w:val="21"/>
                      <w:szCs w:val="21"/>
                      <w:highlight w:val="none"/>
                      <w:lang w:val="en-US" w:eastAsia="zh-CN"/>
                      <w14:textFill>
                        <w14:solidFill>
                          <w14:schemeClr w14:val="tx1"/>
                        </w14:solidFill>
                      </w14:textFill>
                    </w:rPr>
                    <w:t>脱模有机废气集气罩收集经水喷淋装置处理后烟囱排放；项目机加工使用的火花油、钻孔攻牙使用切削液，依据行业通用经验及同类物料的历史检测数据，其挥发性有机物（VOCs）质量占比低于10%。火花油行业VOCs含量约为0.001%~0.5%；切削液稀释后的挥发份比例小于5%，因此机加工废气、钻孔攻牙废气无组织排放，符合排放标准。</w:t>
                  </w:r>
                </w:p>
              </w:tc>
              <w:tc>
                <w:tcPr>
                  <w:tcW w:w="396" w:type="pct"/>
                  <w:vMerge w:val="continue"/>
                  <w:tcBorders>
                    <w:left w:val="single" w:color="auto" w:sz="4" w:space="0"/>
                    <w:right w:val="single" w:color="auto" w:sz="4" w:space="0"/>
                  </w:tcBorders>
                  <w:noWrap w:val="0"/>
                  <w:vAlign w:val="center"/>
                </w:tcPr>
                <w:p w14:paraId="74E406EB">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7063B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vMerge w:val="continue"/>
                  <w:noWrap w:val="0"/>
                  <w:vAlign w:val="center"/>
                </w:tcPr>
                <w:p w14:paraId="1F501BD0">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54" w:type="pct"/>
                  <w:vMerge w:val="continue"/>
                  <w:noWrap w:val="0"/>
                  <w:vAlign w:val="center"/>
                </w:tcPr>
                <w:p w14:paraId="25413574">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709" w:type="pct"/>
                  <w:noWrap w:val="0"/>
                  <w:vAlign w:val="center"/>
                </w:tcPr>
                <w:p w14:paraId="1ED038F0">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废气收集系统的输送管道应当密闭。废气收集系统应当在负压下运行，若处于正压状态，应当对输送管道组件的密封点进行泄漏检测，泄漏检测值不应当超过500μmol/mol，亦不应当有感官可察觉排放。泄漏检测频次、修复与记录的要求按5.5规定执行。</w:t>
                  </w:r>
                </w:p>
              </w:tc>
              <w:tc>
                <w:tcPr>
                  <w:tcW w:w="1773" w:type="pct"/>
                  <w:gridSpan w:val="2"/>
                  <w:tcBorders>
                    <w:right w:val="single" w:color="auto" w:sz="4" w:space="0"/>
                  </w:tcBorders>
                  <w:noWrap w:val="0"/>
                  <w:vAlign w:val="center"/>
                </w:tcPr>
                <w:p w14:paraId="55B18D1A">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建设单位定期安排检查输送管道泄漏情况，如发生泄漏现象，将按照要求进行修复与记录</w:t>
                  </w:r>
                  <w:r>
                    <w:rPr>
                      <w:rFonts w:hint="default" w:ascii="Times New Roman" w:hAnsi="Times New Roman" w:eastAsia="宋体" w:cs="Times New Roman"/>
                      <w:color w:val="000000" w:themeColor="text1"/>
                      <w:highlight w:val="none"/>
                      <w:lang w:eastAsia="zh-CN"/>
                      <w14:textFill>
                        <w14:solidFill>
                          <w14:schemeClr w14:val="tx1"/>
                        </w14:solidFill>
                      </w14:textFill>
                    </w:rPr>
                    <w:t>。</w:t>
                  </w:r>
                </w:p>
              </w:tc>
              <w:tc>
                <w:tcPr>
                  <w:tcW w:w="396" w:type="pct"/>
                  <w:vMerge w:val="continue"/>
                  <w:tcBorders>
                    <w:left w:val="single" w:color="auto" w:sz="4" w:space="0"/>
                    <w:right w:val="single" w:color="auto" w:sz="4" w:space="0"/>
                  </w:tcBorders>
                  <w:noWrap w:val="0"/>
                  <w:vAlign w:val="center"/>
                </w:tcPr>
                <w:p w14:paraId="78189CE9">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3277C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7" w:hRule="atLeast"/>
              </w:trPr>
              <w:tc>
                <w:tcPr>
                  <w:tcW w:w="266" w:type="pct"/>
                  <w:vMerge w:val="continue"/>
                  <w:noWrap w:val="0"/>
                  <w:vAlign w:val="center"/>
                </w:tcPr>
                <w:p w14:paraId="51DA1632">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54" w:type="pct"/>
                  <w:vMerge w:val="continue"/>
                  <w:noWrap w:val="0"/>
                  <w:vAlign w:val="center"/>
                </w:tcPr>
                <w:p w14:paraId="1F06D5C5">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709" w:type="pct"/>
                  <w:noWrap w:val="0"/>
                  <w:vAlign w:val="center"/>
                </w:tcPr>
                <w:p w14:paraId="7D2EACB1">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企业边界及周边VOCs监控要求执行GB16297或相关行业排放标准的规定。</w:t>
                  </w:r>
                </w:p>
              </w:tc>
              <w:tc>
                <w:tcPr>
                  <w:tcW w:w="1773" w:type="pct"/>
                  <w:gridSpan w:val="2"/>
                  <w:vMerge w:val="restart"/>
                  <w:tcBorders>
                    <w:right w:val="single" w:color="auto" w:sz="4" w:space="0"/>
                  </w:tcBorders>
                  <w:noWrap w:val="0"/>
                  <w:vAlign w:val="center"/>
                </w:tcPr>
                <w:p w14:paraId="2F892415">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企业设置环境监测计划，项目建设完成后根据《排污许可证申请与核发技术规范金属铸造工业》（HJ115-2020)中规定的监测分析方法对废气污染源进行日常例行监测，故符合要求</w:t>
                  </w:r>
                  <w:r>
                    <w:rPr>
                      <w:rFonts w:hint="default" w:ascii="Times New Roman" w:hAnsi="Times New Roman" w:eastAsia="宋体" w:cs="Times New Roman"/>
                      <w:color w:val="000000" w:themeColor="text1"/>
                      <w:highlight w:val="none"/>
                      <w14:textFill>
                        <w14:solidFill>
                          <w14:schemeClr w14:val="tx1"/>
                        </w14:solidFill>
                      </w14:textFill>
                    </w:rPr>
                    <w:t>。</w:t>
                  </w:r>
                </w:p>
              </w:tc>
              <w:tc>
                <w:tcPr>
                  <w:tcW w:w="396" w:type="pct"/>
                  <w:vMerge w:val="continue"/>
                  <w:tcBorders>
                    <w:left w:val="single" w:color="auto" w:sz="4" w:space="0"/>
                    <w:right w:val="single" w:color="auto" w:sz="4" w:space="0"/>
                  </w:tcBorders>
                  <w:noWrap w:val="0"/>
                  <w:vAlign w:val="center"/>
                </w:tcPr>
                <w:p w14:paraId="17487CE0">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58D55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79" w:hRule="atLeast"/>
              </w:trPr>
              <w:tc>
                <w:tcPr>
                  <w:tcW w:w="266" w:type="pct"/>
                  <w:vMerge w:val="continue"/>
                  <w:noWrap w:val="0"/>
                  <w:vAlign w:val="center"/>
                </w:tcPr>
                <w:p w14:paraId="6C234871">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54" w:type="pct"/>
                  <w:vMerge w:val="continue"/>
                  <w:noWrap w:val="0"/>
                  <w:vAlign w:val="center"/>
                </w:tcPr>
                <w:p w14:paraId="0F2E648C">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709" w:type="pct"/>
                  <w:noWrap w:val="0"/>
                  <w:vAlign w:val="center"/>
                </w:tcPr>
                <w:p w14:paraId="3C9A33F3">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企业应按照有关法律、《环境监测管理办法》和HJ819等规定，建立企业监测制度，制订监测方案，对污染物排放状况及对周边环境质量的影响开展自行监测，保存原始监测记录，并公布监测结果。</w:t>
                  </w:r>
                </w:p>
              </w:tc>
              <w:tc>
                <w:tcPr>
                  <w:tcW w:w="1773" w:type="pct"/>
                  <w:gridSpan w:val="2"/>
                  <w:vMerge w:val="continue"/>
                  <w:tcBorders>
                    <w:right w:val="single" w:color="auto" w:sz="4" w:space="0"/>
                  </w:tcBorders>
                  <w:noWrap w:val="0"/>
                  <w:vAlign w:val="center"/>
                </w:tcPr>
                <w:p w14:paraId="1EB6F9D5">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396" w:type="pct"/>
                  <w:vMerge w:val="continue"/>
                  <w:tcBorders>
                    <w:left w:val="single" w:color="auto" w:sz="4" w:space="0"/>
                    <w:bottom w:val="single" w:color="auto" w:sz="4" w:space="0"/>
                    <w:right w:val="single" w:color="auto" w:sz="4" w:space="0"/>
                  </w:tcBorders>
                  <w:noWrap w:val="0"/>
                  <w:vAlign w:val="center"/>
                </w:tcPr>
                <w:p w14:paraId="1C8B8CB0">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176DF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restart"/>
                  <w:noWrap w:val="0"/>
                  <w:vAlign w:val="center"/>
                </w:tcPr>
                <w:p w14:paraId="191981DC">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7</w:t>
                  </w:r>
                </w:p>
              </w:tc>
              <w:tc>
                <w:tcPr>
                  <w:tcW w:w="854" w:type="pct"/>
                  <w:vMerge w:val="restart"/>
                  <w:noWrap w:val="0"/>
                  <w:vAlign w:val="center"/>
                </w:tcPr>
                <w:p w14:paraId="1570E9B9">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highlight w:val="none"/>
                      <w:lang w:val="en-US"/>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与中山市“三线一单”生态环境分区管控方案相符性分析-</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南朗街道一般</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管控单元，环境管控单元编码：ZH44200030008</w:t>
                  </w:r>
                </w:p>
              </w:tc>
              <w:tc>
                <w:tcPr>
                  <w:tcW w:w="1709" w:type="pct"/>
                  <w:noWrap w:val="0"/>
                  <w:vAlign w:val="center"/>
                </w:tcPr>
                <w:p w14:paraId="77C44B88">
                  <w:pPr>
                    <w:widowControl/>
                    <w:adjustRightInd w:val="0"/>
                    <w:snapToGrid w:val="0"/>
                    <w:jc w:val="left"/>
                    <w:rPr>
                      <w:rFonts w:hint="default" w:ascii="Times New Roman" w:hAnsi="Times New Roman" w:eastAsia="宋体" w:cs="Times New Roman"/>
                      <w:color w:val="000000" w:themeColor="text1"/>
                      <w:highlight w:val="none"/>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-1.【产业/鼓励引导类】①鼓励发展文化旅游、现代服务业、生物医药、装备制造及机器人、新一代信息技术等科技型、创新型高端制造业等产业。②翠亨新区鼓励发展健康医药、装备制造及机器人、新一代信息技术、现代服务业和未来产业（X）。</w:t>
                  </w:r>
                </w:p>
              </w:tc>
              <w:tc>
                <w:tcPr>
                  <w:tcW w:w="1773" w:type="pct"/>
                  <w:gridSpan w:val="2"/>
                  <w:tcBorders>
                    <w:right w:val="single" w:color="auto" w:sz="4" w:space="0"/>
                  </w:tcBorders>
                  <w:noWrap w:val="0"/>
                  <w:vAlign w:val="center"/>
                </w:tcPr>
                <w:p w14:paraId="55213508">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属于C3392有色金属铸造</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C3879灯用电器附件及其他照明器具制造</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C3670汽车零部件及配件制造</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t>C3525模具制造</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，生产产品为</w:t>
                  </w: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铝合金</w:t>
                  </w:r>
                  <w:r>
                    <w:rPr>
                      <w:rFonts w:hint="eastAsia" w:cs="Times New Roman"/>
                      <w:color w:val="000000" w:themeColor="text1"/>
                      <w:kern w:val="0"/>
                      <w:sz w:val="21"/>
                      <w:szCs w:val="21"/>
                      <w:highlight w:val="none"/>
                      <w:lang w:val="en-US" w:eastAsia="zh-CN"/>
                      <w14:textFill>
                        <w14:solidFill>
                          <w14:schemeClr w14:val="tx1"/>
                        </w14:solidFill>
                      </w14:textFill>
                    </w:rPr>
                    <w:t>压铸件</w:t>
                  </w:r>
                  <w:r>
                    <w:rPr>
                      <w:rFonts w:hint="eastAsia" w:cs="Times New Roman"/>
                      <w:b w:val="0"/>
                      <w:bCs w:val="0"/>
                      <w:color w:val="000000" w:themeColor="text1"/>
                      <w:kern w:val="0"/>
                      <w:sz w:val="21"/>
                      <w:szCs w:val="21"/>
                      <w:highlight w:val="none"/>
                      <w:lang w:val="en-US" w:eastAsia="zh-CN"/>
                      <w14:textFill>
                        <w14:solidFill>
                          <w14:schemeClr w14:val="tx1"/>
                        </w14:solidFill>
                      </w14:textFill>
                    </w:rPr>
                    <w:t>、锌</w:t>
                  </w:r>
                  <w:r>
                    <w:rPr>
                      <w:b w:val="0"/>
                      <w:bCs w:val="0"/>
                      <w:color w:val="000000" w:themeColor="text1"/>
                      <w:sz w:val="21"/>
                      <w:szCs w:val="21"/>
                      <w14:textFill>
                        <w14:solidFill>
                          <w14:schemeClr w14:val="tx1"/>
                        </w14:solidFill>
                      </w14:textFill>
                    </w:rPr>
                    <w:t>合金</w:t>
                  </w:r>
                  <w:r>
                    <w:rPr>
                      <w:rFonts w:hint="eastAsia"/>
                      <w:b w:val="0"/>
                      <w:bCs w:val="0"/>
                      <w:color w:val="000000" w:themeColor="text1"/>
                      <w:sz w:val="21"/>
                      <w:szCs w:val="21"/>
                      <w:lang w:val="en-US" w:eastAsia="zh-CN"/>
                      <w14:textFill>
                        <w14:solidFill>
                          <w14:schemeClr w14:val="tx1"/>
                        </w14:solidFill>
                      </w14:textFill>
                    </w:rPr>
                    <w:t>压铸件、模具</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，属</w:t>
                  </w:r>
                  <w:r>
                    <w:rPr>
                      <w:rFonts w:hint="default" w:ascii="Times New Roman" w:hAnsi="Times New Roman" w:eastAsia="宋体" w:cs="Times New Roman"/>
                      <w:color w:val="000000" w:themeColor="text1"/>
                      <w:highlight w:val="none"/>
                      <w:lang w:val="en-US" w:eastAsia="zh-CN"/>
                      <w14:textFill>
                        <w14:solidFill>
                          <w14:schemeClr w14:val="tx1"/>
                        </w14:solidFill>
                      </w14:textFill>
                    </w:rPr>
                    <w:t>于</w:t>
                  </w:r>
                  <w:r>
                    <w:rPr>
                      <w:rFonts w:hint="eastAsia" w:cs="Times New Roman"/>
                      <w:color w:val="000000" w:themeColor="text1"/>
                      <w:highlight w:val="none"/>
                      <w:lang w:val="en-US" w:eastAsia="zh-CN"/>
                      <w14:textFill>
                        <w14:solidFill>
                          <w14:schemeClr w14:val="tx1"/>
                        </w14:solidFill>
                      </w14:textFill>
                    </w:rPr>
                    <w:t>装备制造及机器人产业</w:t>
                  </w: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396" w:type="pct"/>
                  <w:vMerge w:val="restart"/>
                  <w:tcBorders>
                    <w:top w:val="single" w:color="auto" w:sz="4" w:space="0"/>
                    <w:left w:val="single" w:color="auto" w:sz="4" w:space="0"/>
                    <w:right w:val="single" w:color="auto" w:sz="4" w:space="0"/>
                  </w:tcBorders>
                  <w:noWrap w:val="0"/>
                  <w:vAlign w:val="center"/>
                </w:tcPr>
                <w:p w14:paraId="6118C242">
                  <w:pPr>
                    <w:shd w:val="clear"/>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530AD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1F57D1E0">
                  <w:pPr>
                    <w:keepNext w:val="0"/>
                    <w:keepLines w:val="0"/>
                    <w:widowControl/>
                    <w:suppressLineNumbers w:val="0"/>
                    <w:shd w:val="clear"/>
                    <w:spacing w:line="240" w:lineRule="auto"/>
                    <w:jc w:val="left"/>
                    <w:rPr>
                      <w:rFonts w:hint="default" w:ascii="Times New Roman" w:hAnsi="Times New Roman" w:cs="Times New Roman"/>
                      <w:color w:val="000000" w:themeColor="text1"/>
                      <w:highlight w:val="none"/>
                      <w14:textFill>
                        <w14:solidFill>
                          <w14:schemeClr w14:val="tx1"/>
                        </w14:solidFill>
                      </w14:textFill>
                    </w:rPr>
                  </w:pPr>
                </w:p>
              </w:tc>
              <w:tc>
                <w:tcPr>
                  <w:tcW w:w="854" w:type="pct"/>
                  <w:vMerge w:val="continue"/>
                  <w:noWrap w:val="0"/>
                  <w:vAlign w:val="center"/>
                </w:tcPr>
                <w:p w14:paraId="50B447A1">
                  <w:pPr>
                    <w:keepNext w:val="0"/>
                    <w:keepLines w:val="0"/>
                    <w:widowControl/>
                    <w:suppressLineNumbers w:val="0"/>
                    <w:shd w:val="clear"/>
                    <w:spacing w:line="240" w:lineRule="auto"/>
                    <w:jc w:val="left"/>
                    <w:rPr>
                      <w:rFonts w:hint="default" w:ascii="Times New Roman" w:hAnsi="Times New Roman" w:cs="Times New Roman"/>
                      <w:color w:val="000000" w:themeColor="text1"/>
                      <w:highlight w:val="none"/>
                      <w14:textFill>
                        <w14:solidFill>
                          <w14:schemeClr w14:val="tx1"/>
                        </w14:solidFill>
                      </w14:textFill>
                    </w:rPr>
                  </w:pPr>
                </w:p>
              </w:tc>
              <w:tc>
                <w:tcPr>
                  <w:tcW w:w="1709" w:type="pct"/>
                  <w:noWrap w:val="0"/>
                  <w:vAlign w:val="center"/>
                </w:tcPr>
                <w:p w14:paraId="13309583">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1-2.【产业/禁止类】禁止新建、扩建水泥、平板玻璃、化学制浆、生皮制革以及国家规划外的钢铁、原油加工等项目。</w:t>
                  </w:r>
                </w:p>
              </w:tc>
              <w:tc>
                <w:tcPr>
                  <w:tcW w:w="1773" w:type="pct"/>
                  <w:gridSpan w:val="2"/>
                  <w:tcBorders>
                    <w:right w:val="single" w:color="auto" w:sz="4" w:space="0"/>
                  </w:tcBorders>
                  <w:noWrap w:val="0"/>
                  <w:vAlign w:val="center"/>
                </w:tcPr>
                <w:p w14:paraId="4C1C90BE">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项目不涉及新建、扩建水泥、平板玻璃、化学制浆、生皮制革以及国家规划外的钢铁、原油加工等项目</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p>
              </w:tc>
              <w:tc>
                <w:tcPr>
                  <w:tcW w:w="396" w:type="pct"/>
                  <w:vMerge w:val="continue"/>
                  <w:tcBorders>
                    <w:left w:val="single" w:color="auto" w:sz="4" w:space="0"/>
                    <w:right w:val="single" w:color="auto" w:sz="4" w:space="0"/>
                  </w:tcBorders>
                  <w:noWrap w:val="0"/>
                  <w:vAlign w:val="center"/>
                </w:tcPr>
                <w:p w14:paraId="28052D3C">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35132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28EB6EE1">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22F4DB4C">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4FB8A08B">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-3.【产业/限制类】印染、牛仔洗水、电镀、鞣革等污染行业须按要求集聚发展、集中治污，新建、扩建“两高”化工项目应在依法合规设立并经规划环评的产业园区内布设，禁止在化工园区外新建、扩建危险化学品建设项目（运输工具加油站、加气站、加氢站及其合建站、制氢加氢一体站，港口（铁路、航空）危险化学品建设项目，危险化学品输送管道以及危险化学品使用单位的配套项目，国家、省、市重点项目配套项目、氢能源重大科技创新平台除外）。</w:t>
                  </w:r>
                </w:p>
              </w:tc>
              <w:tc>
                <w:tcPr>
                  <w:tcW w:w="1773" w:type="pct"/>
                  <w:gridSpan w:val="2"/>
                  <w:tcBorders>
                    <w:right w:val="single" w:color="auto" w:sz="4" w:space="0"/>
                  </w:tcBorders>
                  <w:noWrap w:val="0"/>
                  <w:vAlign w:val="center"/>
                </w:tcPr>
                <w:p w14:paraId="30365FEA">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项目不属于</w:t>
                  </w:r>
                  <w:r>
                    <w:rPr>
                      <w:rFonts w:hint="eastAsia" w:cs="Times New Roman"/>
                      <w:color w:val="000000" w:themeColor="text1"/>
                      <w:kern w:val="0"/>
                      <w:sz w:val="21"/>
                      <w:szCs w:val="21"/>
                      <w:highlight w:val="none"/>
                      <w:lang w:val="en-US" w:eastAsia="zh-CN" w:bidi="ar"/>
                      <w14:textFill>
                        <w14:solidFill>
                          <w14:schemeClr w14:val="tx1"/>
                        </w14:solidFill>
                      </w14:textFill>
                    </w:rPr>
                    <w:t>需要在化工园区内建设项目</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p>
              </w:tc>
              <w:tc>
                <w:tcPr>
                  <w:tcW w:w="396" w:type="pct"/>
                  <w:vMerge w:val="continue"/>
                  <w:tcBorders>
                    <w:left w:val="single" w:color="auto" w:sz="4" w:space="0"/>
                    <w:right w:val="single" w:color="auto" w:sz="4" w:space="0"/>
                  </w:tcBorders>
                  <w:noWrap w:val="0"/>
                  <w:vAlign w:val="center"/>
                </w:tcPr>
                <w:p w14:paraId="5C5B2660">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17637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54286924">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2D51A355">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05EEC507">
                  <w:pPr>
                    <w:widowControl/>
                    <w:adjustRightInd w:val="0"/>
                    <w:snapToGrid w:val="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1-4.【生态/禁止类】①单元内中山崖口地方级湿地公园、中山翠湖地方级湿地公园范围实施严格管控，按照《广东省湿地公园管理暂行办法》及其他有关法律法规进行管理。湿地公园范围内禁止下列行为：</w:t>
                  </w:r>
                </w:p>
                <w:p w14:paraId="47F88E29">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开矿、采石、修坟以及生产性放牧等；从事房地产、度假村、高尔夫球场等任何不符合主体功能定位的建设项目和开发活动；法律法规禁止的活动或者行为。②单元内广东中山翠亨国家湿地公园范围实施严格管控，按照《国家湿地公园管理办法》《湿地保护管理规定》《广东省湿地公园管理暂行办法》及其他有关法律法规进行管理。湿地公园范围内禁止下列行为：开（围）垦、填埋或者排干湿地；截断湿地水源；挖沙、采矿；倾倒有毒有害物质、废弃物、垃圾；从事房地产、度假村、高尔夫球场、风力发电、光伏发电等任何不符合主体功能定位的建设项目和开发活动；破坏野生动物栖息地和迁徙通道、鱼类洄游通道，滥采滥捕野生动植物；引入外来物种；擅自放牧、捕捞、取土、取水、排污、放生；其他破坏湿地及其生态功能的活动。③单元内中山香山省级自然保护区范围实施严格管控，按照《中华人民共和国自然保护区条例》及其他有关法律法规进行管理。禁止在自然保护区内进行砍伐、放牧、狩猎、捕捞、采药、开垦、烧荒、开矿、采石、挖沙等活动；但是，法律、行政法规另有规定的除外。</w:t>
                  </w:r>
                </w:p>
              </w:tc>
              <w:tc>
                <w:tcPr>
                  <w:tcW w:w="1773" w:type="pct"/>
                  <w:gridSpan w:val="2"/>
                  <w:tcBorders>
                    <w:right w:val="single" w:color="auto" w:sz="4" w:space="0"/>
                  </w:tcBorders>
                  <w:noWrap w:val="0"/>
                  <w:vAlign w:val="center"/>
                </w:tcPr>
                <w:p w14:paraId="28C2AA05">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项目位于</w:t>
                  </w:r>
                  <w:r>
                    <w:rPr>
                      <w:rFonts w:hint="eastAsia" w:ascii="宋体" w:hAnsi="Times New Roman" w:eastAsia="宋体" w:cs="宋体"/>
                      <w:b w:val="0"/>
                      <w:bCs w:val="0"/>
                      <w:color w:val="000000" w:themeColor="text1"/>
                      <w:sz w:val="21"/>
                      <w:szCs w:val="21"/>
                      <w:lang w:val="en-US" w:eastAsia="zh-CN"/>
                      <w14:textFill>
                        <w14:solidFill>
                          <w14:schemeClr w14:val="tx1"/>
                        </w14:solidFill>
                      </w14:textFill>
                    </w:rPr>
                    <w:t>中山市南朗街道第六工业区逸仙公路222号</w:t>
                  </w:r>
                  <w:r>
                    <w:rPr>
                      <w:rFonts w:hint="eastAsia" w:cs="宋体"/>
                      <w:b w:val="0"/>
                      <w:bCs w:val="0"/>
                      <w:color w:val="000000" w:themeColor="text1"/>
                      <w:sz w:val="21"/>
                      <w:szCs w:val="21"/>
                      <w:lang w:val="en-US" w:eastAsia="zh-CN"/>
                      <w14:textFill>
                        <w14:solidFill>
                          <w14:schemeClr w14:val="tx1"/>
                        </w14:solidFill>
                      </w14:textFill>
                    </w:rPr>
                    <w:t>B栋C区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不属于中山崖口地方级湿地公园、中山翠湖地方级湿地公园范围、广东中山翠亨国家湿地公园范围、中山香山省级自然保护区范围。</w:t>
                  </w:r>
                </w:p>
              </w:tc>
              <w:tc>
                <w:tcPr>
                  <w:tcW w:w="396" w:type="pct"/>
                  <w:vMerge w:val="continue"/>
                  <w:tcBorders>
                    <w:left w:val="single" w:color="auto" w:sz="4" w:space="0"/>
                    <w:right w:val="single" w:color="auto" w:sz="4" w:space="0"/>
                  </w:tcBorders>
                  <w:noWrap w:val="0"/>
                  <w:vAlign w:val="center"/>
                </w:tcPr>
                <w:p w14:paraId="18E431A1">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726A0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537D54DD">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3452F5C1">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7228CF59">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1-5.【生态/限制类】单元内中山云梯山地方级森林公园范围实施严格管控，按照《广东省森林公园管理条例》及其他有关法律法规进行管理。</w:t>
                  </w:r>
                </w:p>
              </w:tc>
              <w:tc>
                <w:tcPr>
                  <w:tcW w:w="1773" w:type="pct"/>
                  <w:gridSpan w:val="2"/>
                  <w:tcBorders>
                    <w:right w:val="single" w:color="auto" w:sz="4" w:space="0"/>
                  </w:tcBorders>
                  <w:noWrap w:val="0"/>
                  <w:vAlign w:val="center"/>
                </w:tcPr>
                <w:p w14:paraId="338DC7A7">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项目位于</w:t>
                  </w:r>
                  <w:r>
                    <w:rPr>
                      <w:rFonts w:hint="eastAsia" w:ascii="宋体" w:hAnsi="Times New Roman" w:eastAsia="宋体" w:cs="宋体"/>
                      <w:b w:val="0"/>
                      <w:bCs w:val="0"/>
                      <w:color w:val="000000" w:themeColor="text1"/>
                      <w:sz w:val="21"/>
                      <w:szCs w:val="21"/>
                      <w:lang w:val="en-US" w:eastAsia="zh-CN"/>
                      <w14:textFill>
                        <w14:solidFill>
                          <w14:schemeClr w14:val="tx1"/>
                        </w14:solidFill>
                      </w14:textFill>
                    </w:rPr>
                    <w:t>中山市南朗街道第六工业区逸仙公路222号</w:t>
                  </w:r>
                  <w:r>
                    <w:rPr>
                      <w:rFonts w:hint="eastAsia" w:cs="宋体"/>
                      <w:b w:val="0"/>
                      <w:bCs w:val="0"/>
                      <w:color w:val="000000" w:themeColor="text1"/>
                      <w:sz w:val="21"/>
                      <w:szCs w:val="21"/>
                      <w:lang w:val="en-US" w:eastAsia="zh-CN"/>
                      <w14:textFill>
                        <w14:solidFill>
                          <w14:schemeClr w14:val="tx1"/>
                        </w14:solidFill>
                      </w14:textFill>
                    </w:rPr>
                    <w:t>B栋C区</w:t>
                  </w:r>
                  <w:r>
                    <w:rPr>
                      <w:rFonts w:hint="eastAsia"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不属于中山云梯山地方级森林公园范围</w:t>
                  </w:r>
                  <w:r>
                    <w:rPr>
                      <w:rFonts w:hint="eastAsia" w:cs="Times New Roman"/>
                      <w:color w:val="000000" w:themeColor="text1"/>
                      <w:kern w:val="0"/>
                      <w:sz w:val="21"/>
                      <w:szCs w:val="21"/>
                      <w:highlight w:val="none"/>
                      <w:lang w:val="en-US" w:eastAsia="zh-CN" w:bidi="ar"/>
                      <w14:textFill>
                        <w14:solidFill>
                          <w14:schemeClr w14:val="tx1"/>
                        </w14:solidFill>
                      </w14:textFill>
                    </w:rPr>
                    <w:t>。</w:t>
                  </w:r>
                </w:p>
              </w:tc>
              <w:tc>
                <w:tcPr>
                  <w:tcW w:w="396" w:type="pct"/>
                  <w:vMerge w:val="continue"/>
                  <w:tcBorders>
                    <w:left w:val="single" w:color="auto" w:sz="4" w:space="0"/>
                    <w:right w:val="single" w:color="auto" w:sz="4" w:space="0"/>
                  </w:tcBorders>
                  <w:noWrap w:val="0"/>
                  <w:vAlign w:val="center"/>
                </w:tcPr>
                <w:p w14:paraId="217F5590">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2626A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6EC10FDA">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66D58A52">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23472CF8">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1-6.【生态/综合类】①加强对生态空间的保护，生态保护红线、一般生态空间严格按照国家、省有关要求进行管控。 ②单元内属五桂山生态保护区的区域参照执行《中山市五桂山生态保护规划（2020）》分区分级管理。</w:t>
                  </w:r>
                </w:p>
              </w:tc>
              <w:tc>
                <w:tcPr>
                  <w:tcW w:w="1773" w:type="pct"/>
                  <w:gridSpan w:val="2"/>
                  <w:tcBorders>
                    <w:right w:val="single" w:color="auto" w:sz="4" w:space="0"/>
                  </w:tcBorders>
                  <w:noWrap w:val="0"/>
                  <w:vAlign w:val="center"/>
                </w:tcPr>
                <w:p w14:paraId="3B1B3D0C">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项目位于</w:t>
                  </w:r>
                  <w:r>
                    <w:rPr>
                      <w:rFonts w:hint="eastAsia" w:ascii="宋体" w:hAnsi="Times New Roman" w:eastAsia="宋体" w:cs="宋体"/>
                      <w:b w:val="0"/>
                      <w:bCs w:val="0"/>
                      <w:color w:val="000000" w:themeColor="text1"/>
                      <w:sz w:val="21"/>
                      <w:szCs w:val="21"/>
                      <w:lang w:val="en-US" w:eastAsia="zh-CN"/>
                      <w14:textFill>
                        <w14:solidFill>
                          <w14:schemeClr w14:val="tx1"/>
                        </w14:solidFill>
                      </w14:textFill>
                    </w:rPr>
                    <w:t>中山市南朗街道第六工业区逸仙公路222号</w:t>
                  </w:r>
                  <w:r>
                    <w:rPr>
                      <w:rFonts w:hint="eastAsia" w:cs="宋体"/>
                      <w:b w:val="0"/>
                      <w:bCs w:val="0"/>
                      <w:color w:val="000000" w:themeColor="text1"/>
                      <w:sz w:val="21"/>
                      <w:szCs w:val="21"/>
                      <w:lang w:val="en-US" w:eastAsia="zh-CN"/>
                      <w14:textFill>
                        <w14:solidFill>
                          <w14:schemeClr w14:val="tx1"/>
                        </w14:solidFill>
                      </w14:textFill>
                    </w:rPr>
                    <w:t>B栋C区</w:t>
                  </w:r>
                  <w:r>
                    <w:rPr>
                      <w:rFonts w:hint="eastAsia"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不属于生态保护红线、一般生态空间、五桂山生态保护区的区域</w:t>
                  </w:r>
                </w:p>
              </w:tc>
              <w:tc>
                <w:tcPr>
                  <w:tcW w:w="396" w:type="pct"/>
                  <w:vMerge w:val="continue"/>
                  <w:tcBorders>
                    <w:left w:val="single" w:color="auto" w:sz="4" w:space="0"/>
                    <w:right w:val="single" w:color="auto" w:sz="4" w:space="0"/>
                  </w:tcBorders>
                  <w:noWrap w:val="0"/>
                  <w:vAlign w:val="center"/>
                </w:tcPr>
                <w:p w14:paraId="20BA76A6">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54472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76F9F504">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52005E8B">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414AE11A">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1-7.【水/鼓励引导类】未达到水质目标的饮用水水源保护区、重要水库汇水区等敏感区域要建设生态沟渠、污水净化塘、地表径流集蓄池等设施，净化农田排水及地表径流。</w:t>
                  </w:r>
                </w:p>
              </w:tc>
              <w:tc>
                <w:tcPr>
                  <w:tcW w:w="1773" w:type="pct"/>
                  <w:gridSpan w:val="2"/>
                  <w:tcBorders>
                    <w:right w:val="single" w:color="auto" w:sz="4" w:space="0"/>
                  </w:tcBorders>
                  <w:noWrap w:val="0"/>
                  <w:vAlign w:val="center"/>
                </w:tcPr>
                <w:p w14:paraId="07951B89">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项目</w:t>
                  </w:r>
                  <w:r>
                    <w:rPr>
                      <w:rFonts w:hint="eastAsia" w:cs="Times New Roman"/>
                      <w:color w:val="000000" w:themeColor="text1"/>
                      <w:kern w:val="0"/>
                      <w:sz w:val="21"/>
                      <w:szCs w:val="21"/>
                      <w:highlight w:val="none"/>
                      <w:lang w:val="en-US" w:eastAsia="zh-CN" w:bidi="ar"/>
                      <w14:textFill>
                        <w14:solidFill>
                          <w14:schemeClr w14:val="tx1"/>
                        </w14:solidFill>
                      </w14:textFill>
                    </w:rPr>
                    <w:t>不涉及。</w:t>
                  </w:r>
                </w:p>
              </w:tc>
              <w:tc>
                <w:tcPr>
                  <w:tcW w:w="396" w:type="pct"/>
                  <w:vMerge w:val="continue"/>
                  <w:tcBorders>
                    <w:left w:val="single" w:color="auto" w:sz="4" w:space="0"/>
                    <w:right w:val="single" w:color="auto" w:sz="4" w:space="0"/>
                  </w:tcBorders>
                  <w:noWrap w:val="0"/>
                  <w:vAlign w:val="center"/>
                </w:tcPr>
                <w:p w14:paraId="11EF8BF1">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5C817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42F92B2E">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2EBA4E1B">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7B85E67F">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-8.【水/禁止类】单元内莲花地水库、横迳水库饮用水水源一级保护区和二级保护区以及长江水库二级保护区内，按照《中华人民共和国水污染防治法》《广东省水污染防治条例》等相关法律法规实施管理。禁止在饮用水水源一级保护区内新建、改建、扩建与供水设施和保护水源无关的建设项目，禁止在饮用水水源二级保护区内新建、改建、扩建排放污染物的建设项目。</w:t>
                  </w:r>
                </w:p>
              </w:tc>
              <w:tc>
                <w:tcPr>
                  <w:tcW w:w="1773" w:type="pct"/>
                  <w:gridSpan w:val="2"/>
                  <w:tcBorders>
                    <w:right w:val="single" w:color="auto" w:sz="4" w:space="0"/>
                  </w:tcBorders>
                  <w:noWrap w:val="0"/>
                  <w:vAlign w:val="center"/>
                </w:tcPr>
                <w:p w14:paraId="32ABA96D">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本项目</w:t>
                  </w:r>
                  <w:r>
                    <w:rPr>
                      <w:rFonts w:hint="eastAsia" w:ascii="宋体" w:hAnsi="宋体" w:eastAsia="宋体" w:cs="宋体"/>
                      <w:color w:val="000000" w:themeColor="text1"/>
                      <w:kern w:val="0"/>
                      <w:szCs w:val="21"/>
                      <w:lang w:val="en-US" w:eastAsia="zh-CN"/>
                      <w14:textFill>
                        <w14:solidFill>
                          <w14:schemeClr w14:val="tx1"/>
                        </w14:solidFill>
                      </w14:textFill>
                    </w:rPr>
                    <w:t>不属于</w:t>
                  </w:r>
                  <w:r>
                    <w:rPr>
                      <w:rFonts w:hint="eastAsia" w:ascii="宋体" w:hAnsi="宋体" w:cs="宋体"/>
                      <w:color w:val="000000" w:themeColor="text1"/>
                      <w:kern w:val="0"/>
                      <w:szCs w:val="21"/>
                      <w14:textFill>
                        <w14:solidFill>
                          <w14:schemeClr w14:val="tx1"/>
                        </w14:solidFill>
                      </w14:textFill>
                    </w:rPr>
                    <w:t>莲花地水库、横迳水库饮用水水源一级保护区和二级保护区以及长江水库二级保护区内</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396" w:type="pct"/>
                  <w:vMerge w:val="continue"/>
                  <w:tcBorders>
                    <w:left w:val="single" w:color="auto" w:sz="4" w:space="0"/>
                    <w:right w:val="single" w:color="auto" w:sz="4" w:space="0"/>
                  </w:tcBorders>
                  <w:noWrap w:val="0"/>
                  <w:vAlign w:val="center"/>
                </w:tcPr>
                <w:p w14:paraId="37069B65">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3A317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7803F089">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5396E6A7">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558DB657">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1-9.【水/限制类】严格限制重要水库集雨区与水源涵养区域变更土地利用方式。</w:t>
                  </w:r>
                </w:p>
              </w:tc>
              <w:tc>
                <w:tcPr>
                  <w:tcW w:w="1773" w:type="pct"/>
                  <w:gridSpan w:val="2"/>
                  <w:tcBorders>
                    <w:right w:val="single" w:color="auto" w:sz="4" w:space="0"/>
                  </w:tcBorders>
                  <w:noWrap w:val="0"/>
                  <w:vAlign w:val="top"/>
                </w:tcPr>
                <w:p w14:paraId="470F2C36">
                  <w:pPr>
                    <w:keepNext w:val="0"/>
                    <w:keepLines w:val="0"/>
                    <w:pageBreakBefore w:val="0"/>
                    <w:widowControl/>
                    <w:suppressLineNumbers w:val="0"/>
                    <w:shd w:val="clear"/>
                    <w:kinsoku/>
                    <w:wordWrap/>
                    <w:overflowPunct w:val="0"/>
                    <w:topLinePunct w:val="0"/>
                    <w:autoSpaceDE w:val="0"/>
                    <w:autoSpaceDN w:val="0"/>
                    <w:bidi w:val="0"/>
                    <w:adjustRightInd/>
                    <w:snapToGrid/>
                    <w:spacing w:line="240" w:lineRule="auto"/>
                    <w:jc w:val="both"/>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项目</w:t>
                  </w:r>
                  <w:r>
                    <w:rPr>
                      <w:rFonts w:hint="eastAsia" w:cs="Times New Roman"/>
                      <w:color w:val="000000" w:themeColor="text1"/>
                      <w:kern w:val="0"/>
                      <w:sz w:val="21"/>
                      <w:szCs w:val="21"/>
                      <w:highlight w:val="none"/>
                      <w:lang w:val="en-US" w:eastAsia="zh-CN" w:bidi="ar"/>
                      <w14:textFill>
                        <w14:solidFill>
                          <w14:schemeClr w14:val="tx1"/>
                        </w14:solidFill>
                      </w14:textFill>
                    </w:rPr>
                    <w:t>不涉及。</w:t>
                  </w:r>
                </w:p>
              </w:tc>
              <w:tc>
                <w:tcPr>
                  <w:tcW w:w="396" w:type="pct"/>
                  <w:vMerge w:val="continue"/>
                  <w:tcBorders>
                    <w:left w:val="single" w:color="auto" w:sz="4" w:space="0"/>
                    <w:right w:val="single" w:color="auto" w:sz="4" w:space="0"/>
                  </w:tcBorders>
                  <w:noWrap w:val="0"/>
                  <w:vAlign w:val="center"/>
                </w:tcPr>
                <w:p w14:paraId="3AE51D6C">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49CB7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4EB32715">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662DBC2F">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453D9A4C">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1-10.【大气/禁止类】环境空气质量一类功能区实施严格保护，禁止新建、扩建大气污染物排放工业项目（国家和省规定不纳入环评管理的项目除外）。</w:t>
                  </w:r>
                </w:p>
              </w:tc>
              <w:tc>
                <w:tcPr>
                  <w:tcW w:w="1773" w:type="pct"/>
                  <w:gridSpan w:val="2"/>
                  <w:tcBorders>
                    <w:right w:val="single" w:color="auto" w:sz="4" w:space="0"/>
                  </w:tcBorders>
                  <w:noWrap w:val="0"/>
                  <w:vAlign w:val="center"/>
                </w:tcPr>
                <w:p w14:paraId="6FA08547">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项目</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不属于环境空气质量一类功能区</w:t>
                  </w:r>
                </w:p>
              </w:tc>
              <w:tc>
                <w:tcPr>
                  <w:tcW w:w="396" w:type="pct"/>
                  <w:vMerge w:val="continue"/>
                  <w:tcBorders>
                    <w:left w:val="single" w:color="auto" w:sz="4" w:space="0"/>
                    <w:right w:val="single" w:color="auto" w:sz="4" w:space="0"/>
                  </w:tcBorders>
                  <w:noWrap w:val="0"/>
                  <w:vAlign w:val="center"/>
                </w:tcPr>
                <w:p w14:paraId="7DF67176">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6D1D3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054D54F7">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542D549E">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57838866">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1-11.【大气/限制类】原则上不再审批或备案新建、扩建涉使用非低（无）VOCs涂料、油墨、胶粘剂原辅材料的工业类项目，相关豁免情形除外。</w:t>
                  </w:r>
                </w:p>
              </w:tc>
              <w:tc>
                <w:tcPr>
                  <w:tcW w:w="1773" w:type="pct"/>
                  <w:gridSpan w:val="2"/>
                  <w:tcBorders>
                    <w:right w:val="single" w:color="auto" w:sz="4" w:space="0"/>
                  </w:tcBorders>
                  <w:noWrap w:val="0"/>
                  <w:vAlign w:val="top"/>
                </w:tcPr>
                <w:p w14:paraId="2F10E333">
                  <w:pPr>
                    <w:keepNext w:val="0"/>
                    <w:keepLines w:val="0"/>
                    <w:widowControl/>
                    <w:suppressLineNumbers w:val="0"/>
                    <w:shd w:val="clear"/>
                    <w:spacing w:line="240" w:lineRule="auto"/>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项目不涉及</w:t>
                  </w:r>
                  <w:r>
                    <w:rPr>
                      <w:rFonts w:hint="default" w:ascii="Times New Roman" w:hAnsi="Times New Roman" w:eastAsia="宋体" w:cs="Times New Roman"/>
                      <w:color w:val="000000" w:themeColor="text1"/>
                      <w:kern w:val="0"/>
                      <w:szCs w:val="21"/>
                      <w14:textFill>
                        <w14:solidFill>
                          <w14:schemeClr w14:val="tx1"/>
                        </w14:solidFill>
                      </w14:textFill>
                    </w:rPr>
                    <w:t>使用非低（无）VOCs涂料、油墨、胶粘剂原辅材料</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396" w:type="pct"/>
                  <w:vMerge w:val="continue"/>
                  <w:tcBorders>
                    <w:left w:val="single" w:color="auto" w:sz="4" w:space="0"/>
                    <w:right w:val="single" w:color="auto" w:sz="4" w:space="0"/>
                  </w:tcBorders>
                  <w:noWrap w:val="0"/>
                  <w:vAlign w:val="center"/>
                </w:tcPr>
                <w:p w14:paraId="562D1517">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4FCE4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7524C711">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2942BDBD">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70A4FAE8">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-12.【土壤/综合类】禁止在农用地优先保护区域建设重点行业项目，严格控制优先保护区域周边新建重点行业项目，已建成的项目应严格做好污染治理和风险管控措施，积极采用新技术、新工艺，加快提标升级改造，防控土壤污染。</w:t>
                  </w:r>
                </w:p>
              </w:tc>
              <w:tc>
                <w:tcPr>
                  <w:tcW w:w="1773" w:type="pct"/>
                  <w:gridSpan w:val="2"/>
                  <w:tcBorders>
                    <w:right w:val="single" w:color="auto" w:sz="4" w:space="0"/>
                  </w:tcBorders>
                  <w:noWrap w:val="0"/>
                  <w:vAlign w:val="center"/>
                </w:tcPr>
                <w:p w14:paraId="16A06D0F">
                  <w:pPr>
                    <w:keepNext w:val="0"/>
                    <w:keepLines w:val="0"/>
                    <w:pageBreakBefore w:val="0"/>
                    <w:widowControl w:val="0"/>
                    <w:shd w:val="clear"/>
                    <w:kinsoku/>
                    <w:wordWrap/>
                    <w:overflowPunct w:val="0"/>
                    <w:topLinePunct w:val="0"/>
                    <w:autoSpaceDE w:val="0"/>
                    <w:autoSpaceDN w:val="0"/>
                    <w:bidi w:val="0"/>
                    <w:adjustRightInd/>
                    <w:snapToGrid/>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项目所在地为工业用地，</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不涉及</w:t>
                  </w:r>
                  <w:r>
                    <w:rPr>
                      <w:rFonts w:hint="default" w:ascii="Times New Roman" w:hAnsi="Times New Roman" w:eastAsia="宋体" w:cs="Times New Roman"/>
                      <w:color w:val="000000" w:themeColor="text1"/>
                      <w:kern w:val="0"/>
                      <w:szCs w:val="21"/>
                      <w14:textFill>
                        <w14:solidFill>
                          <w14:schemeClr w14:val="tx1"/>
                        </w14:solidFill>
                      </w14:textFill>
                    </w:rPr>
                    <w:t>农用地优先保护区域</w:t>
                  </w:r>
                  <w:r>
                    <w:rPr>
                      <w:rFonts w:hint="default" w:ascii="Times New Roman" w:hAnsi="Times New Roman" w:eastAsia="宋体" w:cs="Times New Roman"/>
                      <w:color w:val="000000" w:themeColor="text1"/>
                      <w:kern w:val="0"/>
                      <w:szCs w:val="21"/>
                      <w:lang w:eastAsia="zh-CN"/>
                      <w14:textFill>
                        <w14:solidFill>
                          <w14:schemeClr w14:val="tx1"/>
                        </w14:solidFill>
                      </w14:textFill>
                    </w:rPr>
                    <w:t>。</w:t>
                  </w:r>
                </w:p>
              </w:tc>
              <w:tc>
                <w:tcPr>
                  <w:tcW w:w="396" w:type="pct"/>
                  <w:vMerge w:val="continue"/>
                  <w:tcBorders>
                    <w:left w:val="single" w:color="auto" w:sz="4" w:space="0"/>
                    <w:right w:val="single" w:color="auto" w:sz="4" w:space="0"/>
                  </w:tcBorders>
                  <w:noWrap w:val="0"/>
                  <w:vAlign w:val="center"/>
                </w:tcPr>
                <w:p w14:paraId="759AFBA1">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1C889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084B6C7B">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1EC85A83">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1BD5482D">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1-13.【土壤/限制类】建设用地地块用途变更为住宅、公共管理与公共服务用地时，变更前应当按照规定进行土壤污染状况调查。</w:t>
                  </w:r>
                </w:p>
              </w:tc>
              <w:tc>
                <w:tcPr>
                  <w:tcW w:w="1773" w:type="pct"/>
                  <w:gridSpan w:val="2"/>
                  <w:tcBorders>
                    <w:right w:val="single" w:color="auto" w:sz="4" w:space="0"/>
                  </w:tcBorders>
                  <w:noWrap w:val="0"/>
                  <w:vAlign w:val="center"/>
                </w:tcPr>
                <w:p w14:paraId="66C6C233">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项目所在地为工业用地，符合用地规划。</w:t>
                  </w:r>
                </w:p>
              </w:tc>
              <w:tc>
                <w:tcPr>
                  <w:tcW w:w="396" w:type="pct"/>
                  <w:vMerge w:val="continue"/>
                  <w:tcBorders>
                    <w:left w:val="single" w:color="auto" w:sz="4" w:space="0"/>
                    <w:right w:val="single" w:color="auto" w:sz="4" w:space="0"/>
                  </w:tcBorders>
                  <w:noWrap w:val="0"/>
                  <w:vAlign w:val="center"/>
                </w:tcPr>
                <w:p w14:paraId="289B42A0">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424F0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4E815214">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4893EC9C">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40DD0481">
                  <w:pPr>
                    <w:widowControl/>
                    <w:adjustRightInd w:val="0"/>
                    <w:snapToGrid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2-1.【能源/鼓励引导类】鼓励翠亨新区开展近零碳排放示范区及低碳社区建设相关工作。</w:t>
                  </w:r>
                </w:p>
              </w:tc>
              <w:tc>
                <w:tcPr>
                  <w:tcW w:w="1773" w:type="pct"/>
                  <w:gridSpan w:val="2"/>
                  <w:tcBorders>
                    <w:right w:val="single" w:color="auto" w:sz="4" w:space="0"/>
                  </w:tcBorders>
                  <w:noWrap w:val="0"/>
                  <w:vAlign w:val="center"/>
                </w:tcPr>
                <w:p w14:paraId="414F71A1">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项目不涉及。</w:t>
                  </w:r>
                </w:p>
              </w:tc>
              <w:tc>
                <w:tcPr>
                  <w:tcW w:w="396" w:type="pct"/>
                  <w:vMerge w:val="continue"/>
                  <w:tcBorders>
                    <w:left w:val="single" w:color="auto" w:sz="4" w:space="0"/>
                    <w:right w:val="single" w:color="auto" w:sz="4" w:space="0"/>
                  </w:tcBorders>
                  <w:noWrap w:val="0"/>
                  <w:vAlign w:val="center"/>
                </w:tcPr>
                <w:p w14:paraId="7741A97E">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465C6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3734BCC5">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746C26A4">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3B326F89">
                  <w:pPr>
                    <w:widowControl/>
                    <w:adjustRightInd w:val="0"/>
                    <w:snapToGrid w:val="0"/>
                    <w:jc w:val="left"/>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-2.【能源/限制类】①提高资源能源利用效率，推行清洁生产，对于国家已颁布清洁生产标准及清洁生产评价指标体系的行业，新建、改建、扩建项目均要达到行业清洁生产先进水平。②集中供热区域内达到供热条件的企业不再建设分散供热锅炉。③新建锅炉、炉窑只允许使用天然气、液化石油气、电及其它可再生能源。燃用生物质成型燃料的锅炉、炉窑须配套专用燃烧设备。</w:t>
                  </w:r>
                </w:p>
              </w:tc>
              <w:tc>
                <w:tcPr>
                  <w:tcW w:w="1773" w:type="pct"/>
                  <w:gridSpan w:val="2"/>
                  <w:tcBorders>
                    <w:right w:val="single" w:color="auto" w:sz="4" w:space="0"/>
                  </w:tcBorders>
                  <w:noWrap w:val="0"/>
                  <w:vAlign w:val="center"/>
                </w:tcPr>
                <w:p w14:paraId="03AFDDF7">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本项目设备耗能为电能和</w:t>
                  </w:r>
                  <w:r>
                    <w:rPr>
                      <w:rFonts w:hint="eastAsia" w:cs="Times New Roman"/>
                      <w:color w:val="000000" w:themeColor="text1"/>
                      <w:kern w:val="0"/>
                      <w:sz w:val="21"/>
                      <w:szCs w:val="21"/>
                      <w:highlight w:val="none"/>
                      <w:lang w:val="en-US" w:eastAsia="zh-CN" w:bidi="ar"/>
                      <w14:textFill>
                        <w14:solidFill>
                          <w14:schemeClr w14:val="tx1"/>
                        </w14:solidFill>
                      </w14:textFill>
                    </w:rPr>
                    <w:t>液化石油气</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，符合相关要求。</w:t>
                  </w:r>
                </w:p>
              </w:tc>
              <w:tc>
                <w:tcPr>
                  <w:tcW w:w="396" w:type="pct"/>
                  <w:vMerge w:val="continue"/>
                  <w:tcBorders>
                    <w:left w:val="single" w:color="auto" w:sz="4" w:space="0"/>
                    <w:right w:val="single" w:color="auto" w:sz="4" w:space="0"/>
                  </w:tcBorders>
                  <w:noWrap w:val="0"/>
                  <w:vAlign w:val="center"/>
                </w:tcPr>
                <w:p w14:paraId="3244189B">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55827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593FA101">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17DE1895">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3101E591">
                  <w:pPr>
                    <w:widowControl/>
                    <w:adjustRightInd w:val="0"/>
                    <w:snapToGrid w:val="0"/>
                    <w:jc w:val="left"/>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3-1.【水/鼓励引导类】全力推进南朗街道流域未达标水体综合整治工程，零星分布、距离污水管网较远的行政村，可结合实际情况建设分散式污水处理设施。</w:t>
                  </w:r>
                </w:p>
              </w:tc>
              <w:tc>
                <w:tcPr>
                  <w:tcW w:w="1773" w:type="pct"/>
                  <w:gridSpan w:val="2"/>
                  <w:tcBorders>
                    <w:right w:val="single" w:color="auto" w:sz="4" w:space="0"/>
                  </w:tcBorders>
                  <w:noWrap w:val="0"/>
                  <w:vAlign w:val="center"/>
                </w:tcPr>
                <w:p w14:paraId="6665AA36">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项目不涉及。</w:t>
                  </w:r>
                </w:p>
              </w:tc>
              <w:tc>
                <w:tcPr>
                  <w:tcW w:w="396" w:type="pct"/>
                  <w:vMerge w:val="continue"/>
                  <w:tcBorders>
                    <w:left w:val="single" w:color="auto" w:sz="4" w:space="0"/>
                    <w:right w:val="single" w:color="auto" w:sz="4" w:space="0"/>
                  </w:tcBorders>
                  <w:noWrap w:val="0"/>
                  <w:vAlign w:val="center"/>
                </w:tcPr>
                <w:p w14:paraId="1E6CBCE0">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63228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2ADD1C05">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41009D38">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71209524">
                  <w:pPr>
                    <w:widowControl/>
                    <w:adjustRightInd w:val="0"/>
                    <w:snapToGrid w:val="0"/>
                    <w:jc w:val="left"/>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3-2.【水/限制类】涉新增化学需氧量、氨氮排放的项目，原则上实行等量</w:t>
                  </w:r>
                  <w:r>
                    <w:rPr>
                      <w:rFonts w:hint="eastAsia" w:ascii="宋体" w:hAnsi="宋体" w:cs="宋体"/>
                      <w:color w:val="000000" w:themeColor="text1"/>
                      <w:kern w:val="0"/>
                      <w:szCs w:val="21"/>
                      <w:lang w:val="en-US" w:eastAsia="zh-CN"/>
                      <w14:textFill>
                        <w14:solidFill>
                          <w14:schemeClr w14:val="tx1"/>
                        </w14:solidFill>
                      </w14:textFill>
                    </w:rPr>
                    <w:t>替</w:t>
                  </w:r>
                  <w:r>
                    <w:rPr>
                      <w:rFonts w:hint="eastAsia" w:ascii="宋体" w:hAnsi="宋体" w:cs="宋体"/>
                      <w:color w:val="000000" w:themeColor="text1"/>
                      <w:kern w:val="0"/>
                      <w:szCs w:val="21"/>
                      <w14:textFill>
                        <w14:solidFill>
                          <w14:schemeClr w14:val="tx1"/>
                        </w14:solidFill>
                      </w14:textFill>
                    </w:rPr>
                    <w:t>代，若上一年度水环境质量未达到要求，须实行两倍削减</w:t>
                  </w:r>
                  <w:r>
                    <w:rPr>
                      <w:rFonts w:hint="eastAsia" w:ascii="宋体" w:hAnsi="宋体" w:cs="宋体"/>
                      <w:color w:val="000000" w:themeColor="text1"/>
                      <w:kern w:val="0"/>
                      <w:szCs w:val="21"/>
                      <w:lang w:val="en-US" w:eastAsia="zh-CN"/>
                      <w14:textFill>
                        <w14:solidFill>
                          <w14:schemeClr w14:val="tx1"/>
                        </w14:solidFill>
                      </w14:textFill>
                    </w:rPr>
                    <w:t>替</w:t>
                  </w:r>
                  <w:r>
                    <w:rPr>
                      <w:rFonts w:hint="eastAsia" w:ascii="宋体" w:hAnsi="宋体" w:cs="宋体"/>
                      <w:color w:val="000000" w:themeColor="text1"/>
                      <w:kern w:val="0"/>
                      <w:szCs w:val="21"/>
                      <w14:textFill>
                        <w14:solidFill>
                          <w14:schemeClr w14:val="tx1"/>
                        </w14:solidFill>
                      </w14:textFill>
                    </w:rPr>
                    <w:t>代。</w:t>
                  </w:r>
                </w:p>
              </w:tc>
              <w:tc>
                <w:tcPr>
                  <w:tcW w:w="1773" w:type="pct"/>
                  <w:gridSpan w:val="2"/>
                  <w:tcBorders>
                    <w:right w:val="single" w:color="auto" w:sz="4" w:space="0"/>
                  </w:tcBorders>
                  <w:noWrap w:val="0"/>
                  <w:vAlign w:val="center"/>
                </w:tcPr>
                <w:p w14:paraId="7795C7B3">
                  <w:pPr>
                    <w:keepNext w:val="0"/>
                    <w:keepLines w:val="0"/>
                    <w:widowControl/>
                    <w:suppressLineNumbers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本项目生活污水经三级化粪池预处理后排入中山市南朗镇水务有限公司集中处理。</w:t>
                  </w:r>
                </w:p>
              </w:tc>
              <w:tc>
                <w:tcPr>
                  <w:tcW w:w="396" w:type="pct"/>
                  <w:vMerge w:val="continue"/>
                  <w:tcBorders>
                    <w:left w:val="single" w:color="auto" w:sz="4" w:space="0"/>
                    <w:right w:val="single" w:color="auto" w:sz="4" w:space="0"/>
                  </w:tcBorders>
                  <w:noWrap w:val="0"/>
                  <w:vAlign w:val="center"/>
                </w:tcPr>
                <w:p w14:paraId="73C06E28">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168DE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02A5DFAA">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6852BD54">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75B69396">
                  <w:pPr>
                    <w:widowControl/>
                    <w:adjustRightInd w:val="0"/>
                    <w:snapToGrid w:val="0"/>
                    <w:jc w:val="left"/>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-3.【水/综合类】①规范入海排污口设置。②完善临海水质净化厂配套管网，加快推进翠亨新区综合管廊建设，实行雨污分流，新、扩建污水处理设施和配套管网须同步设计、同步建设、同时投运。③推进养殖尾水资源化利用和达标排放。④完善农村垃圾收集转运体系，防止垃圾直接入河或在水体边随意堆放。</w:t>
                  </w:r>
                </w:p>
              </w:tc>
              <w:tc>
                <w:tcPr>
                  <w:tcW w:w="1773" w:type="pct"/>
                  <w:gridSpan w:val="2"/>
                  <w:tcBorders>
                    <w:right w:val="single" w:color="auto" w:sz="4" w:space="0"/>
                  </w:tcBorders>
                  <w:noWrap w:val="0"/>
                  <w:vAlign w:val="center"/>
                </w:tcPr>
                <w:p w14:paraId="3F203A31">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项目不涉及。</w:t>
                  </w:r>
                </w:p>
              </w:tc>
              <w:tc>
                <w:tcPr>
                  <w:tcW w:w="396" w:type="pct"/>
                  <w:vMerge w:val="continue"/>
                  <w:tcBorders>
                    <w:left w:val="single" w:color="auto" w:sz="4" w:space="0"/>
                    <w:right w:val="single" w:color="auto" w:sz="4" w:space="0"/>
                  </w:tcBorders>
                  <w:noWrap w:val="0"/>
                  <w:vAlign w:val="center"/>
                </w:tcPr>
                <w:p w14:paraId="4C065591">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44009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48B370B3">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1F119819">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7DD5FC8D">
                  <w:pPr>
                    <w:widowControl/>
                    <w:adjustRightInd w:val="0"/>
                    <w:snapToGrid w:val="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3-4.【大气/限制类】涉新增氮氧化物排放的项目实行等量</w:t>
                  </w:r>
                  <w:r>
                    <w:rPr>
                      <w:rFonts w:hint="eastAsia" w:ascii="宋体" w:hAnsi="宋体" w:cs="宋体"/>
                      <w:color w:val="000000" w:themeColor="text1"/>
                      <w:kern w:val="0"/>
                      <w:szCs w:val="21"/>
                      <w:lang w:val="en-US" w:eastAsia="zh-CN"/>
                      <w14:textFill>
                        <w14:solidFill>
                          <w14:schemeClr w14:val="tx1"/>
                        </w14:solidFill>
                      </w14:textFill>
                    </w:rPr>
                    <w:t>替</w:t>
                  </w:r>
                  <w:r>
                    <w:rPr>
                      <w:rFonts w:hint="eastAsia" w:ascii="宋体" w:hAnsi="宋体" w:cs="宋体"/>
                      <w:color w:val="000000" w:themeColor="text1"/>
                      <w:kern w:val="0"/>
                      <w:szCs w:val="21"/>
                      <w14:textFill>
                        <w14:solidFill>
                          <w14:schemeClr w14:val="tx1"/>
                        </w14:solidFill>
                      </w14:textFill>
                    </w:rPr>
                    <w:t>代，涉新增挥发性有机物排放的项目实行两倍削减</w:t>
                  </w:r>
                  <w:r>
                    <w:rPr>
                      <w:rFonts w:hint="eastAsia" w:ascii="宋体" w:hAnsi="宋体" w:cs="宋体"/>
                      <w:color w:val="000000" w:themeColor="text1"/>
                      <w:kern w:val="0"/>
                      <w:szCs w:val="21"/>
                      <w:lang w:val="en-US" w:eastAsia="zh-CN"/>
                      <w14:textFill>
                        <w14:solidFill>
                          <w14:schemeClr w14:val="tx1"/>
                        </w14:solidFill>
                      </w14:textFill>
                    </w:rPr>
                    <w:t>替</w:t>
                  </w:r>
                  <w:r>
                    <w:rPr>
                      <w:rFonts w:hint="eastAsia" w:ascii="宋体" w:hAnsi="宋体" w:cs="宋体"/>
                      <w:color w:val="000000" w:themeColor="text1"/>
                      <w:kern w:val="0"/>
                      <w:szCs w:val="21"/>
                      <w14:textFill>
                        <w14:solidFill>
                          <w14:schemeClr w14:val="tx1"/>
                        </w14:solidFill>
                      </w14:textFill>
                    </w:rPr>
                    <w:t>代。</w:t>
                  </w:r>
                </w:p>
              </w:tc>
              <w:tc>
                <w:tcPr>
                  <w:tcW w:w="1773" w:type="pct"/>
                  <w:gridSpan w:val="2"/>
                  <w:tcBorders>
                    <w:right w:val="single" w:color="auto" w:sz="4" w:space="0"/>
                  </w:tcBorders>
                  <w:noWrap w:val="0"/>
                  <w:vAlign w:val="center"/>
                </w:tcPr>
                <w:p w14:paraId="4E02AFBF">
                  <w:pPr>
                    <w:keepNext w:val="0"/>
                    <w:keepLines w:val="0"/>
                    <w:widowControl/>
                    <w:suppressLineNumbers w:val="0"/>
                    <w:jc w:val="left"/>
                    <w:rPr>
                      <w:rFonts w:hint="default"/>
                      <w:color w:val="000000" w:themeColor="text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项目涉及新增氮氧化物、挥发性有机物的排放，按相关要求申请排放总量。</w:t>
                  </w:r>
                </w:p>
              </w:tc>
              <w:tc>
                <w:tcPr>
                  <w:tcW w:w="396" w:type="pct"/>
                  <w:vMerge w:val="continue"/>
                  <w:tcBorders>
                    <w:left w:val="single" w:color="auto" w:sz="4" w:space="0"/>
                    <w:right w:val="single" w:color="auto" w:sz="4" w:space="0"/>
                  </w:tcBorders>
                  <w:noWrap w:val="0"/>
                  <w:vAlign w:val="center"/>
                </w:tcPr>
                <w:p w14:paraId="33D9ECC3">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265E8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78AE9EBA">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36ACB02D">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31004956">
                  <w:pPr>
                    <w:widowControl/>
                    <w:adjustRightInd w:val="0"/>
                    <w:snapToGrid w:val="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3-5.【土壤/综合类】推广低毒、低残留农药使用补助试点经验，开展农作物病虫害绿色防控和统防统治。推广测土配方施肥技术，持续推进化肥农药减量增效。</w:t>
                  </w:r>
                </w:p>
              </w:tc>
              <w:tc>
                <w:tcPr>
                  <w:tcW w:w="1773" w:type="pct"/>
                  <w:gridSpan w:val="2"/>
                  <w:tcBorders>
                    <w:right w:val="single" w:color="auto" w:sz="4" w:space="0"/>
                  </w:tcBorders>
                  <w:noWrap w:val="0"/>
                  <w:vAlign w:val="center"/>
                </w:tcPr>
                <w:p w14:paraId="07C6B14D">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项目不涉及。</w:t>
                  </w:r>
                </w:p>
              </w:tc>
              <w:tc>
                <w:tcPr>
                  <w:tcW w:w="396" w:type="pct"/>
                  <w:vMerge w:val="continue"/>
                  <w:tcBorders>
                    <w:left w:val="single" w:color="auto" w:sz="4" w:space="0"/>
                    <w:right w:val="single" w:color="auto" w:sz="4" w:space="0"/>
                  </w:tcBorders>
                  <w:noWrap w:val="0"/>
                  <w:vAlign w:val="center"/>
                </w:tcPr>
                <w:p w14:paraId="4A214FCA">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7B6ED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2FCEFF2C">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1DB3A6F0">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3105F3B1">
                  <w:pPr>
                    <w:widowControl/>
                    <w:adjustRightInd w:val="0"/>
                    <w:snapToGrid w:val="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3-6.【其他/综合类】加强中心组团垃圾处理基地污染防控措施，确保废水、废气、噪声的达标排放，危险废物合法处置或转移。定期监控土壤、地下水污染情况。</w:t>
                  </w:r>
                </w:p>
              </w:tc>
              <w:tc>
                <w:tcPr>
                  <w:tcW w:w="1773" w:type="pct"/>
                  <w:gridSpan w:val="2"/>
                  <w:tcBorders>
                    <w:right w:val="single" w:color="auto" w:sz="4" w:space="0"/>
                  </w:tcBorders>
                  <w:noWrap w:val="0"/>
                  <w:vAlign w:val="center"/>
                </w:tcPr>
                <w:p w14:paraId="50CB0C93">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项目不涉及。</w:t>
                  </w:r>
                </w:p>
              </w:tc>
              <w:tc>
                <w:tcPr>
                  <w:tcW w:w="396" w:type="pct"/>
                  <w:vMerge w:val="continue"/>
                  <w:tcBorders>
                    <w:left w:val="single" w:color="auto" w:sz="4" w:space="0"/>
                    <w:right w:val="single" w:color="auto" w:sz="4" w:space="0"/>
                  </w:tcBorders>
                  <w:noWrap w:val="0"/>
                  <w:vAlign w:val="center"/>
                </w:tcPr>
                <w:p w14:paraId="6832076C">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11F58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0F101E36">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25A1BF38">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7FC29BF9">
                  <w:pPr>
                    <w:widowControl/>
                    <w:adjustRightInd w:val="0"/>
                    <w:snapToGrid w:val="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-1.【水/综合类】①集中污水处理厂应采取有效措施，防止事故废水直接排入水体，完善污水处理厂在线监控系统联网，实现污水处理厂的实时、动态监管。②单元内涉及省生态环境厅发布《突发环境事件应急预案备案行业名录（指导性意见）》所属行业类型的企业，应按要求编制突发环境事件应急预案，需设计、建设有效防止泄漏化学物质、消防废水、污染雨水等扩散至外环境的拦截、收集设施，相关设施须符合防渗、防漏要求。</w:t>
                  </w:r>
                </w:p>
              </w:tc>
              <w:tc>
                <w:tcPr>
                  <w:tcW w:w="1773" w:type="pct"/>
                  <w:gridSpan w:val="2"/>
                  <w:tcBorders>
                    <w:right w:val="single" w:color="auto" w:sz="4" w:space="0"/>
                  </w:tcBorders>
                  <w:noWrap w:val="0"/>
                  <w:vAlign w:val="center"/>
                </w:tcPr>
                <w:p w14:paraId="3BCFC735">
                  <w:pPr>
                    <w:keepNext w:val="0"/>
                    <w:keepLines w:val="0"/>
                    <w:widowControl/>
                    <w:suppressLineNumbers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项目编制突发环境事件应急预案，设计、建设有效防止泄漏化学物质、消防废水、污染雨水等扩散至外环境的拦截、收集设施，相关设施须符合防渗、防漏要求。</w:t>
                  </w:r>
                </w:p>
              </w:tc>
              <w:tc>
                <w:tcPr>
                  <w:tcW w:w="396" w:type="pct"/>
                  <w:vMerge w:val="continue"/>
                  <w:tcBorders>
                    <w:left w:val="single" w:color="auto" w:sz="4" w:space="0"/>
                    <w:right w:val="single" w:color="auto" w:sz="4" w:space="0"/>
                  </w:tcBorders>
                  <w:noWrap w:val="0"/>
                  <w:vAlign w:val="center"/>
                </w:tcPr>
                <w:p w14:paraId="0DB9BBD6">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3BD3A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05C2B1E6">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661D2C99">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7586BE44">
                  <w:pPr>
                    <w:widowControl/>
                    <w:adjustRightInd w:val="0"/>
                    <w:snapToGrid w:val="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4-2.【土壤/综合类】土壤环境污染重点监管工业企业要落实《工矿用地土壤环境管理办法（试行）》要求，在项目环评、设计建设、拆除设施、终止经营等环节落实好土壤和地下水污染防治工作。</w:t>
                  </w:r>
                </w:p>
              </w:tc>
              <w:tc>
                <w:tcPr>
                  <w:tcW w:w="1773" w:type="pct"/>
                  <w:gridSpan w:val="2"/>
                  <w:tcBorders>
                    <w:right w:val="single" w:color="auto" w:sz="4" w:space="0"/>
                  </w:tcBorders>
                  <w:noWrap w:val="0"/>
                  <w:vAlign w:val="center"/>
                </w:tcPr>
                <w:p w14:paraId="5F983060">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项目不涉及</w:t>
                  </w:r>
                </w:p>
              </w:tc>
              <w:tc>
                <w:tcPr>
                  <w:tcW w:w="396" w:type="pct"/>
                  <w:vMerge w:val="continue"/>
                  <w:tcBorders>
                    <w:left w:val="single" w:color="auto" w:sz="4" w:space="0"/>
                    <w:right w:val="single" w:color="auto" w:sz="4" w:space="0"/>
                  </w:tcBorders>
                  <w:noWrap w:val="0"/>
                  <w:vAlign w:val="center"/>
                </w:tcPr>
                <w:p w14:paraId="3A524726">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17369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 w:hRule="atLeast"/>
              </w:trPr>
              <w:tc>
                <w:tcPr>
                  <w:tcW w:w="266" w:type="pct"/>
                  <w:vMerge w:val="continue"/>
                  <w:noWrap w:val="0"/>
                  <w:vAlign w:val="center"/>
                </w:tcPr>
                <w:p w14:paraId="6B63214E">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54" w:type="pct"/>
                  <w:vMerge w:val="continue"/>
                  <w:noWrap w:val="0"/>
                  <w:vAlign w:val="center"/>
                </w:tcPr>
                <w:p w14:paraId="3F86445D">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709" w:type="pct"/>
                  <w:noWrap w:val="0"/>
                  <w:vAlign w:val="center"/>
                </w:tcPr>
                <w:p w14:paraId="3C541BD0">
                  <w:pPr>
                    <w:widowControl/>
                    <w:adjustRightInd w:val="0"/>
                    <w:snapToGrid w:val="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4-3.【其他/综合类】加强中心组团垃圾处理基地环境风险防控，制定应急预案并定期演练。</w:t>
                  </w:r>
                </w:p>
              </w:tc>
              <w:tc>
                <w:tcPr>
                  <w:tcW w:w="1773" w:type="pct"/>
                  <w:gridSpan w:val="2"/>
                  <w:tcBorders>
                    <w:right w:val="single" w:color="auto" w:sz="4" w:space="0"/>
                  </w:tcBorders>
                  <w:noWrap w:val="0"/>
                  <w:vAlign w:val="center"/>
                </w:tcPr>
                <w:p w14:paraId="3A238DD2">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项目不涉及。</w:t>
                  </w:r>
                </w:p>
              </w:tc>
              <w:tc>
                <w:tcPr>
                  <w:tcW w:w="396" w:type="pct"/>
                  <w:vMerge w:val="continue"/>
                  <w:tcBorders>
                    <w:left w:val="single" w:color="auto" w:sz="4" w:space="0"/>
                    <w:bottom w:val="single" w:color="auto" w:sz="4" w:space="0"/>
                    <w:right w:val="single" w:color="auto" w:sz="4" w:space="0"/>
                  </w:tcBorders>
                  <w:noWrap w:val="0"/>
                  <w:vAlign w:val="center"/>
                </w:tcPr>
                <w:p w14:paraId="78C5369C">
                  <w:pPr>
                    <w:keepNext w:val="0"/>
                    <w:keepLines w:val="0"/>
                    <w:widowControl/>
                    <w:suppressLineNumbers w:val="0"/>
                    <w:shd w:val="clear"/>
                    <w:spacing w:line="240" w:lineRule="auto"/>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7B2BB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noWrap w:val="0"/>
                  <w:vAlign w:val="center"/>
                </w:tcPr>
                <w:p w14:paraId="2244C7B8">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8</w:t>
                  </w:r>
                </w:p>
              </w:tc>
              <w:tc>
                <w:tcPr>
                  <w:tcW w:w="854" w:type="pct"/>
                  <w:noWrap w:val="0"/>
                  <w:vAlign w:val="center"/>
                </w:tcPr>
                <w:p w14:paraId="1917F4E4">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《中山市地下水污染防治重点区划定方案》</w:t>
                  </w:r>
                </w:p>
              </w:tc>
              <w:tc>
                <w:tcPr>
                  <w:tcW w:w="1709" w:type="pct"/>
                  <w:noWrap w:val="0"/>
                  <w:vAlign w:val="center"/>
                </w:tcPr>
                <w:p w14:paraId="490885A1">
                  <w:pPr>
                    <w:shd w:val="clear"/>
                    <w:bidi w:val="0"/>
                    <w:spacing w:line="240" w:lineRule="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根据地下水资源保护和污染防治管理需要，将地下水污染防治重点区分为保护类区域和管控类区域</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中山市地下水污染防治重点区划定图见附图1</w:t>
                  </w:r>
                  <w:r>
                    <w:rPr>
                      <w:rFonts w:hint="eastAsia" w:cs="Times New Roman"/>
                      <w:color w:val="000000" w:themeColor="text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，按照水源保护和污染防治的紧迫程度进行分级，提出差别化对策建议。划分结果为：</w:t>
                  </w:r>
                  <w:r>
                    <w:rPr>
                      <w:rFonts w:hint="default" w:ascii="Times New Roman" w:hAnsi="Times New Roman" w:eastAsia="宋体" w:cs="Times New Roman"/>
                      <w:color w:val="000000" w:themeColor="text1"/>
                      <w:highlight w:val="none"/>
                      <w14:textFill>
                        <w14:solidFill>
                          <w14:schemeClr w14:val="tx1"/>
                        </w14:solidFill>
                      </w14:textFill>
                    </w:rPr>
                    <w:t>①中山市地下水污染防治重点区包</w:t>
                  </w:r>
                  <w:r>
                    <w:rPr>
                      <w:rFonts w:hint="default" w:ascii="Times New Roman" w:hAnsi="Times New Roman" w:eastAsia="宋体" w:cs="Times New Roman"/>
                      <w:color w:val="000000" w:themeColor="text1"/>
                      <w:highlight w:val="none"/>
                      <w:shd w:val="clear"/>
                      <w:lang w:val="en-US" w:eastAsia="zh-CN"/>
                      <w14:textFill>
                        <w14:solidFill>
                          <w14:schemeClr w14:val="tx1"/>
                        </w14:solidFill>
                      </w14:textFill>
                    </w:rPr>
                    <w:t>括</w:t>
                  </w:r>
                  <w:r>
                    <w:rPr>
                      <w:rFonts w:hint="default" w:ascii="Times New Roman" w:hAnsi="Times New Roman" w:eastAsia="宋体" w:cs="Times New Roman"/>
                      <w:color w:val="000000" w:themeColor="text1"/>
                      <w:highlight w:val="none"/>
                      <w14:textFill>
                        <w14:solidFill>
                          <w14:schemeClr w14:val="tx1"/>
                        </w14:solidFill>
                      </w14:textFill>
                    </w:rPr>
                    <w:t>保护类区域和管控类区域两种。</w:t>
                  </w:r>
                  <w:r>
                    <w:rPr>
                      <w:rFonts w:hint="default" w:ascii="Times New Roman" w:hAnsi="Times New Roman" w:eastAsia="宋体" w:cs="Times New Roman"/>
                      <w:color w:val="000000" w:themeColor="text1"/>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highlight w:val="none"/>
                      <w14:textFill>
                        <w14:solidFill>
                          <w14:schemeClr w14:val="tx1"/>
                        </w14:solidFill>
                      </w14:textFill>
                    </w:rPr>
                    <w:t>保护类区域</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中山市无地下水型饮用水水源，有8个特殊地下水资源区域，其中6个为在产矿泉水企业，2个为地热田地热水区域。在产矿泉水企业包括</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南区文笔山饮用天然矿泉水、五桂山镇双合山饮用天然矿泉水、富山清泉</w:t>
                  </w:r>
                  <w:r>
                    <w:rPr>
                      <w:rFonts w:hint="default" w:ascii="Times New Roman" w:hAnsi="Times New Roman" w:eastAsia="宋体" w:cs="Times New Roman"/>
                      <w:color w:val="000000" w:themeColor="text1"/>
                      <w:highlight w:val="none"/>
                      <w:lang w:eastAsia="zh-CN"/>
                      <w14:textFill>
                        <w14:solidFill>
                          <w14:schemeClr w14:val="tx1"/>
                        </w14:solidFill>
                      </w14:textFill>
                    </w:rPr>
                    <w:t>饮用</w:t>
                  </w:r>
                  <w:r>
                    <w:rPr>
                      <w:rFonts w:hint="default" w:ascii="Times New Roman" w:hAnsi="Times New Roman" w:eastAsia="宋体" w:cs="Times New Roman"/>
                      <w:color w:val="000000" w:themeColor="text1"/>
                      <w:highlight w:val="none"/>
                      <w14:textFill>
                        <w14:solidFill>
                          <w14:schemeClr w14:val="tx1"/>
                        </w14:solidFill>
                      </w14:textFill>
                    </w:rPr>
                    <w:t>天然矿泉水、五桂山镇桂南饮用天然矿泉水、南朗镇翠宝饮用天然矿泉水，三</w:t>
                  </w:r>
                  <w:r>
                    <w:rPr>
                      <w:rFonts w:hint="eastAsia" w:cs="Times New Roman"/>
                      <w:color w:val="000000" w:themeColor="text1"/>
                      <w:highlight w:val="none"/>
                      <w:lang w:val="en-US" w:eastAsia="zh-CN"/>
                      <w14:textFill>
                        <w14:solidFill>
                          <w14:schemeClr w14:val="tx1"/>
                        </w14:solidFill>
                      </w14:textFill>
                    </w:rPr>
                    <w:t>乡</w:t>
                  </w:r>
                  <w:r>
                    <w:rPr>
                      <w:rFonts w:hint="default" w:ascii="Times New Roman" w:hAnsi="Times New Roman" w:eastAsia="宋体" w:cs="Times New Roman"/>
                      <w:color w:val="000000" w:themeColor="text1"/>
                      <w:highlight w:val="none"/>
                      <w14:textFill>
                        <w14:solidFill>
                          <w14:schemeClr w14:val="tx1"/>
                        </w14:solidFill>
                      </w14:textFill>
                    </w:rPr>
                    <w:t>镇五龙饮用天然矿泉水</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2个地热田地热水区域包括虎池围地热田地热水、三</w:t>
                  </w:r>
                  <w:r>
                    <w:rPr>
                      <w:rFonts w:hint="eastAsia" w:cs="Times New Roman"/>
                      <w:color w:val="000000" w:themeColor="text1"/>
                      <w:highlight w:val="none"/>
                      <w:lang w:val="en-US" w:eastAsia="zh-CN"/>
                      <w14:textFill>
                        <w14:solidFill>
                          <w14:schemeClr w14:val="tx1"/>
                        </w14:solidFill>
                      </w14:textFill>
                    </w:rPr>
                    <w:t>乡</w:t>
                  </w:r>
                  <w:r>
                    <w:rPr>
                      <w:rFonts w:hint="default" w:ascii="Times New Roman" w:hAnsi="Times New Roman" w:eastAsia="宋体" w:cs="Times New Roman"/>
                      <w:color w:val="000000" w:themeColor="text1"/>
                      <w:highlight w:val="none"/>
                      <w14:textFill>
                        <w14:solidFill>
                          <w14:schemeClr w14:val="tx1"/>
                        </w14:solidFill>
                      </w14:textFill>
                    </w:rPr>
                    <w:t>镇雍陌(中山温泉)地热田热矿水。将8个特殊地下水资源区域保护区纳入中山市地下水污染防治重点区中的保护类区域，分区类型为</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其他</w:t>
                  </w:r>
                  <w:r>
                    <w:rPr>
                      <w:rFonts w:hint="default" w:ascii="Times New Roman" w:hAnsi="Times New Roman" w:eastAsia="宋体" w:cs="Times New Roman"/>
                      <w:color w:val="000000" w:themeColor="text1"/>
                      <w:highlight w:val="none"/>
                      <w:lang w:eastAsia="zh-CN"/>
                      <w14:textFill>
                        <w14:solidFill>
                          <w14:schemeClr w14:val="tx1"/>
                        </w14:solidFill>
                      </w14:textFill>
                    </w:rPr>
                    <w:t>”。</w:t>
                  </w:r>
                </w:p>
                <w:p w14:paraId="579A2687">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③</w:t>
                  </w:r>
                  <w:r>
                    <w:rPr>
                      <w:rFonts w:hint="default" w:ascii="Times New Roman" w:hAnsi="Times New Roman" w:eastAsia="宋体" w:cs="Times New Roman"/>
                      <w:color w:val="000000" w:themeColor="text1"/>
                      <w:highlight w:val="none"/>
                      <w14:textFill>
                        <w14:solidFill>
                          <w14:schemeClr w14:val="tx1"/>
                        </w14:solidFill>
                      </w14:textFill>
                    </w:rPr>
                    <w:t>管控类区域</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基于中山市地下水功能价值评估、地下水脆弱性评估结果，扣除保护类区域，划定管控类区域，并根据中山市地下水污染源荷载评估结果划分一级管控区和二级管控区。中山市地下水污染防治管控类区域内无污染源高荷载区域，故管控类区域均为二级管控区。主要分布于五桂山街道、南区街道、东区街道和三</w:t>
                  </w:r>
                  <w:r>
                    <w:rPr>
                      <w:rFonts w:hint="eastAsia" w:cs="Times New Roman"/>
                      <w:color w:val="000000" w:themeColor="text1"/>
                      <w:highlight w:val="none"/>
                      <w:lang w:val="en-US" w:eastAsia="zh-CN"/>
                      <w14:textFill>
                        <w14:solidFill>
                          <w14:schemeClr w14:val="tx1"/>
                        </w14:solidFill>
                      </w14:textFill>
                    </w:rPr>
                    <w:t>乡</w:t>
                  </w:r>
                  <w:r>
                    <w:rPr>
                      <w:rFonts w:hint="default" w:ascii="Times New Roman" w:hAnsi="Times New Roman" w:eastAsia="宋体" w:cs="Times New Roman"/>
                      <w:color w:val="000000" w:themeColor="text1"/>
                      <w:highlight w:val="none"/>
                      <w14:textFill>
                        <w14:solidFill>
                          <w14:schemeClr w14:val="tx1"/>
                        </w14:solidFill>
                      </w14:textFill>
                    </w:rPr>
                    <w:t>镇。</w:t>
                  </w:r>
                </w:p>
                <w:p w14:paraId="16143599">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④</w:t>
                  </w:r>
                  <w:r>
                    <w:rPr>
                      <w:rFonts w:hint="default" w:ascii="Times New Roman" w:hAnsi="Times New Roman" w:eastAsia="宋体" w:cs="Times New Roman"/>
                      <w:color w:val="000000" w:themeColor="text1"/>
                      <w:highlight w:val="none"/>
                      <w14:textFill>
                        <w14:solidFill>
                          <w14:schemeClr w14:val="tx1"/>
                        </w14:solidFill>
                      </w14:textFill>
                    </w:rPr>
                    <w:t>一般区</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一般区为保护类区域和管控类区域以外的区域。按照相关法律法规、管理办法等开展常态化管理。</w:t>
                  </w:r>
                </w:p>
              </w:tc>
              <w:tc>
                <w:tcPr>
                  <w:tcW w:w="1773" w:type="pct"/>
                  <w:gridSpan w:val="2"/>
                  <w:noWrap w:val="0"/>
                  <w:vAlign w:val="center"/>
                </w:tcPr>
                <w:p w14:paraId="55A3278D">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本项目位于</w:t>
                  </w:r>
                  <w:r>
                    <w:rPr>
                      <w:rFonts w:hint="eastAsia" w:ascii="宋体" w:hAnsi="Times New Roman" w:eastAsia="宋体" w:cs="宋体"/>
                      <w:b w:val="0"/>
                      <w:bCs w:val="0"/>
                      <w:color w:val="000000" w:themeColor="text1"/>
                      <w:sz w:val="21"/>
                      <w:szCs w:val="21"/>
                      <w:lang w:val="en-US" w:eastAsia="zh-CN"/>
                      <w14:textFill>
                        <w14:solidFill>
                          <w14:schemeClr w14:val="tx1"/>
                        </w14:solidFill>
                      </w14:textFill>
                    </w:rPr>
                    <w:t>中山市南朗街道第六工业区逸仙公路222号</w:t>
                  </w:r>
                  <w:r>
                    <w:rPr>
                      <w:rFonts w:hint="eastAsia" w:cs="宋体"/>
                      <w:b w:val="0"/>
                      <w:bCs w:val="0"/>
                      <w:color w:val="000000" w:themeColor="text1"/>
                      <w:sz w:val="21"/>
                      <w:szCs w:val="21"/>
                      <w:lang w:val="en-US" w:eastAsia="zh-CN"/>
                      <w14:textFill>
                        <w14:solidFill>
                          <w14:schemeClr w14:val="tx1"/>
                        </w14:solidFill>
                      </w14:textFill>
                    </w:rPr>
                    <w:t>B栋C区</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，为一般区</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项目不使用地下水，且厂区地面全硬化，</w:t>
                  </w:r>
                  <w:r>
                    <w:rPr>
                      <w:rFonts w:hint="eastAsia" w:cs="Times New Roman"/>
                      <w:color w:val="000000" w:themeColor="text1"/>
                      <w:highlight w:val="none"/>
                      <w:lang w:val="en-US" w:eastAsia="zh-CN"/>
                      <w14:textFill>
                        <w14:solidFill>
                          <w14:schemeClr w14:val="tx1"/>
                        </w14:solidFill>
                      </w14:textFill>
                    </w:rPr>
                    <w:t>建成后，按照相关法律法规、管理办法等开展常态化管理，</w:t>
                  </w:r>
                  <w:r>
                    <w:rPr>
                      <w:rFonts w:hint="default" w:ascii="Times New Roman" w:hAnsi="Times New Roman" w:eastAsia="宋体" w:cs="Times New Roman"/>
                      <w:color w:val="000000" w:themeColor="text1"/>
                      <w:highlight w:val="none"/>
                      <w:lang w:val="en-US" w:eastAsia="zh-CN"/>
                      <w14:textFill>
                        <w14:solidFill>
                          <w14:schemeClr w14:val="tx1"/>
                        </w14:solidFill>
                      </w14:textFill>
                    </w:rPr>
                    <w:t>因此项目建设符合相关要求。</w:t>
                  </w:r>
                </w:p>
              </w:tc>
              <w:tc>
                <w:tcPr>
                  <w:tcW w:w="396" w:type="pct"/>
                  <w:tcBorders>
                    <w:top w:val="single" w:color="auto" w:sz="4" w:space="0"/>
                  </w:tcBorders>
                  <w:noWrap w:val="0"/>
                  <w:vAlign w:val="center"/>
                </w:tcPr>
                <w:p w14:paraId="2F3D2F8A">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39F20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noWrap w:val="0"/>
                  <w:vAlign w:val="center"/>
                </w:tcPr>
                <w:p w14:paraId="37C69BEB">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9</w:t>
                  </w:r>
                </w:p>
              </w:tc>
              <w:tc>
                <w:tcPr>
                  <w:tcW w:w="854" w:type="pct"/>
                  <w:noWrap w:val="0"/>
                  <w:vAlign w:val="center"/>
                </w:tcPr>
                <w:p w14:paraId="055286EB">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《中山市环保共性产业园规划》（2023）</w:t>
                  </w:r>
                </w:p>
              </w:tc>
              <w:tc>
                <w:tcPr>
                  <w:tcW w:w="1709" w:type="pct"/>
                  <w:noWrap w:val="0"/>
                  <w:vAlign w:val="center"/>
                </w:tcPr>
                <w:p w14:paraId="572A6C0C">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10.2完善政策支持</w:t>
                  </w:r>
                </w:p>
                <w:p w14:paraId="6A0E2F71">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本规划实施后，按重点项目计划推进环保共性产业园、共性工厂建设，镇内其他区域原则上不再审批或备案环保共性产业园核心区、共性工厂涉及的共性工序的规模以下建设项目，规模以下建设项目是指产值小于2千万元/年的项目；对于符合镇街产业布局等相关规划、环保手续齐全、清洁生产达到国内或国际先进水平的规模以下技改、扩建、搬迁建设项目，经镇街政府同意后，方可向生态环境部门报批或备案项目建设。</w:t>
                  </w:r>
                </w:p>
                <w:p w14:paraId="3786767F">
                  <w:pPr>
                    <w:shd w:val="clear"/>
                    <w:bidi w:val="0"/>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根据文件，南朗街道近期(2022-2025)年没有环保共性工厂、共性产业园规划；中远期(2026-2035年)规划发展南朗街道健康医药环保共性产业园（西湾医药与健康产业园、中山市华南现代中医药城），规划发展产业为生物制药、保健品、医疗器械、保健品、食品、化妆品、医疗检测、生物医药科研，主要生产工艺为健康医药（新建废水处理站）</w:t>
                  </w:r>
                  <w:r>
                    <w:rPr>
                      <w:rFonts w:hint="eastAsia" w:cs="Times New Roman"/>
                      <w:color w:val="000000" w:themeColor="text1"/>
                      <w:highlight w:val="none"/>
                      <w:lang w:val="en-US" w:eastAsia="zh-CN"/>
                      <w14:textFill>
                        <w14:solidFill>
                          <w14:schemeClr w14:val="tx1"/>
                        </w14:solidFill>
                      </w14:textFill>
                    </w:rPr>
                    <w:t>，共性工序为提取、萃取、结晶、反应（酯化、环氧化、缩合等）、蒸馏、投料、搅拌、冷凝等。</w:t>
                  </w:r>
                </w:p>
              </w:tc>
              <w:tc>
                <w:tcPr>
                  <w:tcW w:w="1773" w:type="pct"/>
                  <w:gridSpan w:val="2"/>
                  <w:noWrap w:val="0"/>
                  <w:vAlign w:val="center"/>
                </w:tcPr>
                <w:p w14:paraId="0B3795D2">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本项目位于</w:t>
                  </w:r>
                  <w:r>
                    <w:rPr>
                      <w:rFonts w:hint="eastAsia" w:ascii="宋体" w:hAnsi="Times New Roman" w:eastAsia="宋体" w:cs="宋体"/>
                      <w:b w:val="0"/>
                      <w:bCs w:val="0"/>
                      <w:color w:val="000000" w:themeColor="text1"/>
                      <w:sz w:val="21"/>
                      <w:szCs w:val="21"/>
                      <w:lang w:val="en-US" w:eastAsia="zh-CN"/>
                      <w14:textFill>
                        <w14:solidFill>
                          <w14:schemeClr w14:val="tx1"/>
                        </w14:solidFill>
                      </w14:textFill>
                    </w:rPr>
                    <w:t>中山市南朗街道第六工业区逸仙公路222号</w:t>
                  </w:r>
                  <w:r>
                    <w:rPr>
                      <w:rFonts w:hint="eastAsia" w:cs="宋体"/>
                      <w:b w:val="0"/>
                      <w:bCs w:val="0"/>
                      <w:color w:val="000000" w:themeColor="text1"/>
                      <w:sz w:val="21"/>
                      <w:szCs w:val="21"/>
                      <w:lang w:val="en-US" w:eastAsia="zh-CN"/>
                      <w14:textFill>
                        <w14:solidFill>
                          <w14:schemeClr w14:val="tx1"/>
                        </w14:solidFill>
                      </w14:textFill>
                    </w:rPr>
                    <w:t>B栋C区</w:t>
                  </w:r>
                  <w:r>
                    <w:rPr>
                      <w:rFonts w:hint="default" w:ascii="Times New Roman" w:hAnsi="Times New Roman" w:eastAsia="宋体" w:cs="Times New Roman"/>
                      <w:color w:val="000000" w:themeColor="text1"/>
                      <w:highlight w:val="none"/>
                      <w:lang w:val="en-US" w:eastAsia="zh-CN"/>
                      <w14:textFill>
                        <w14:solidFill>
                          <w14:schemeClr w14:val="tx1"/>
                        </w14:solidFill>
                      </w14:textFill>
                    </w:rPr>
                    <w:t>，国民经济行业类别为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C3392有色金属铸造</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C3879灯用电器附件及其他照明器具制造</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C3670汽车零部件及配件制造</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t>C3525模具制造</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，主要工序为</w:t>
                  </w:r>
                  <w:r>
                    <w:rPr>
                      <w:rFonts w:hint="eastAsia" w:cs="Times New Roman"/>
                      <w:color w:val="000000" w:themeColor="text1"/>
                      <w:highlight w:val="none"/>
                      <w:lang w:val="en-US" w:eastAsia="zh-CN"/>
                      <w14:textFill>
                        <w14:solidFill>
                          <w14:schemeClr w14:val="tx1"/>
                        </w14:solidFill>
                      </w14:textFill>
                    </w:rPr>
                    <w:t>熔融、压铸、去水口、研磨、钻孔攻牙、机加工、抛光等</w:t>
                  </w:r>
                  <w:r>
                    <w:rPr>
                      <w:rFonts w:hint="default" w:ascii="Times New Roman" w:hAnsi="Times New Roman" w:eastAsia="宋体" w:cs="Times New Roman"/>
                      <w:color w:val="000000" w:themeColor="text1"/>
                      <w:highlight w:val="none"/>
                      <w:lang w:val="en-US" w:eastAsia="zh-CN"/>
                      <w14:textFill>
                        <w14:solidFill>
                          <w14:schemeClr w14:val="tx1"/>
                        </w14:solidFill>
                      </w14:textFill>
                    </w:rPr>
                    <w:t>，产品为</w:t>
                  </w: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铝合金</w:t>
                  </w:r>
                  <w:r>
                    <w:rPr>
                      <w:rFonts w:hint="eastAsia" w:cs="Times New Roman"/>
                      <w:color w:val="000000" w:themeColor="text1"/>
                      <w:kern w:val="0"/>
                      <w:sz w:val="21"/>
                      <w:szCs w:val="21"/>
                      <w:highlight w:val="none"/>
                      <w:lang w:val="en-US" w:eastAsia="zh-CN"/>
                      <w14:textFill>
                        <w14:solidFill>
                          <w14:schemeClr w14:val="tx1"/>
                        </w14:solidFill>
                      </w14:textFill>
                    </w:rPr>
                    <w:t>压铸件</w:t>
                  </w: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、锌合金</w:t>
                  </w:r>
                  <w:r>
                    <w:rPr>
                      <w:rFonts w:hint="eastAsia" w:cs="Times New Roman"/>
                      <w:color w:val="000000" w:themeColor="text1"/>
                      <w:kern w:val="0"/>
                      <w:sz w:val="21"/>
                      <w:szCs w:val="21"/>
                      <w:highlight w:val="none"/>
                      <w:lang w:val="en-US" w:eastAsia="zh-CN"/>
                      <w14:textFill>
                        <w14:solidFill>
                          <w14:schemeClr w14:val="tx1"/>
                        </w14:solidFill>
                      </w14:textFill>
                    </w:rPr>
                    <w:t>压铸件、模具，</w:t>
                  </w:r>
                  <w:r>
                    <w:rPr>
                      <w:rFonts w:hint="default" w:ascii="Times New Roman" w:hAnsi="Times New Roman" w:eastAsia="宋体" w:cs="Times New Roman"/>
                      <w:color w:val="000000" w:themeColor="text1"/>
                      <w:highlight w:val="none"/>
                      <w:lang w:val="en-US" w:eastAsia="zh-CN"/>
                      <w14:textFill>
                        <w14:solidFill>
                          <w14:schemeClr w14:val="tx1"/>
                        </w14:solidFill>
                      </w14:textFill>
                    </w:rPr>
                    <w:t>由于南朗街道</w:t>
                  </w:r>
                  <w:r>
                    <w:rPr>
                      <w:rFonts w:hint="default" w:ascii="Times New Roman" w:hAnsi="Times New Roman" w:cs="Times New Roman"/>
                      <w:color w:val="000000" w:themeColor="text1"/>
                      <w:highlight w:val="none"/>
                      <w:lang w:val="en-US" w:eastAsia="zh-CN"/>
                      <w14:textFill>
                        <w14:solidFill>
                          <w14:schemeClr w14:val="tx1"/>
                        </w14:solidFill>
                      </w14:textFill>
                    </w:rPr>
                    <w:t>中远期(2026-2035年)规划发展南朗街道健康医药环保共性产业园（西湾医药与健康产业园、中山市华南现代中医药城）</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项目不涉及</w:t>
                  </w:r>
                  <w:r>
                    <w:rPr>
                      <w:rFonts w:hint="default" w:ascii="Times New Roman" w:hAnsi="Times New Roman" w:eastAsia="宋体" w:cs="Times New Roman"/>
                      <w:color w:val="000000" w:themeColor="text1"/>
                      <w:highlight w:val="none"/>
                      <w:lang w:val="en-US" w:eastAsia="zh-CN"/>
                      <w14:textFill>
                        <w14:solidFill>
                          <w14:schemeClr w14:val="tx1"/>
                        </w14:solidFill>
                      </w14:textFill>
                    </w:rPr>
                    <w:t>生物制药、保健品、医疗器械、保健品、食品、化妆品、医疗检测、生物医药科研</w:t>
                  </w:r>
                  <w:r>
                    <w:rPr>
                      <w:rFonts w:hint="eastAsia" w:cs="Times New Roman"/>
                      <w:color w:val="000000" w:themeColor="text1"/>
                      <w:highlight w:val="none"/>
                      <w:lang w:val="en-US" w:eastAsia="zh-CN"/>
                      <w14:textFill>
                        <w14:solidFill>
                          <w14:schemeClr w14:val="tx1"/>
                        </w14:solidFill>
                      </w14:textFill>
                    </w:rPr>
                    <w:t>等共性产业；</w:t>
                  </w: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项目不涉及</w:t>
                  </w:r>
                  <w:r>
                    <w:rPr>
                      <w:rFonts w:hint="default" w:ascii="Times New Roman" w:hAnsi="Times New Roman" w:cs="Times New Roman"/>
                      <w:color w:val="000000" w:themeColor="text1"/>
                      <w:highlight w:val="none"/>
                      <w:lang w:val="en-US" w:eastAsia="zh-CN"/>
                      <w14:textFill>
                        <w14:solidFill>
                          <w14:schemeClr w14:val="tx1"/>
                        </w14:solidFill>
                      </w14:textFill>
                    </w:rPr>
                    <w:t>提取、萃取、结晶、反应（酯化、环氧化、缩合等）、蒸馏、投料、搅拌、冷凝等）</w:t>
                  </w:r>
                  <w:r>
                    <w:rPr>
                      <w:rFonts w:hint="default" w:ascii="Times New Roman" w:hAnsi="Times New Roman" w:eastAsia="宋体" w:cs="Times New Roman"/>
                      <w:color w:val="000000" w:themeColor="text1"/>
                      <w:highlight w:val="none"/>
                      <w:lang w:val="en-US" w:eastAsia="zh-CN"/>
                      <w14:textFill>
                        <w14:solidFill>
                          <w14:schemeClr w14:val="tx1"/>
                        </w14:solidFill>
                      </w14:textFill>
                    </w:rPr>
                    <w:t>的共性工序，故项目不在园区内建设。</w:t>
                  </w:r>
                </w:p>
              </w:tc>
              <w:tc>
                <w:tcPr>
                  <w:tcW w:w="396" w:type="pct"/>
                  <w:noWrap w:val="0"/>
                  <w:vAlign w:val="center"/>
                </w:tcPr>
                <w:p w14:paraId="55F0E041">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29C90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6" w:type="pct"/>
                  <w:noWrap w:val="0"/>
                  <w:vAlign w:val="center"/>
                </w:tcPr>
                <w:p w14:paraId="52D8E34E">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10</w:t>
                  </w:r>
                </w:p>
              </w:tc>
              <w:tc>
                <w:tcPr>
                  <w:tcW w:w="854" w:type="pct"/>
                  <w:noWrap w:val="0"/>
                  <w:vAlign w:val="center"/>
                </w:tcPr>
                <w:p w14:paraId="3F1569CE">
                  <w:pPr>
                    <w:shd w:val="clear"/>
                    <w:bidi w:val="0"/>
                    <w:spacing w:line="240" w:lineRule="auto"/>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中山市自然资源一图通</w:t>
                  </w:r>
                </w:p>
              </w:tc>
              <w:tc>
                <w:tcPr>
                  <w:tcW w:w="1709" w:type="pct"/>
                  <w:noWrap w:val="0"/>
                  <w:vAlign w:val="center"/>
                </w:tcPr>
                <w:p w14:paraId="70C4A8E7">
                  <w:pPr>
                    <w:shd w:val="clear"/>
                    <w:bidi w:val="0"/>
                    <w:spacing w:line="240" w:lineRule="auto"/>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p>
              </w:tc>
              <w:tc>
                <w:tcPr>
                  <w:tcW w:w="1773" w:type="pct"/>
                  <w:gridSpan w:val="2"/>
                  <w:noWrap w:val="0"/>
                  <w:vAlign w:val="center"/>
                </w:tcPr>
                <w:p w14:paraId="6FD3066F">
                  <w:pPr>
                    <w:shd w:val="clear"/>
                    <w:bidi w:val="0"/>
                    <w:spacing w:line="240" w:lineRule="auto"/>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项目选址属于一类工业用地（见附图3）。</w:t>
                  </w:r>
                </w:p>
              </w:tc>
              <w:tc>
                <w:tcPr>
                  <w:tcW w:w="396" w:type="pct"/>
                  <w:noWrap w:val="0"/>
                  <w:vAlign w:val="center"/>
                </w:tcPr>
                <w:p w14:paraId="5D888BC8">
                  <w:pPr>
                    <w:shd w:val="clear"/>
                    <w:bidi w:val="0"/>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符合</w:t>
                  </w:r>
                </w:p>
              </w:tc>
            </w:tr>
          </w:tbl>
          <w:p w14:paraId="0BFB580A">
            <w:pPr>
              <w:shd w:val="clear"/>
              <w:spacing w:line="240" w:lineRule="auto"/>
              <w:outlineLvl w:val="9"/>
              <w:rPr>
                <w:rFonts w:hint="default" w:ascii="Times New Roman" w:hAnsi="Times New Roman" w:eastAsia="宋体" w:cs="Times New Roman"/>
                <w:color w:val="000000" w:themeColor="text1"/>
                <w:sz w:val="30"/>
                <w:highlight w:val="none"/>
                <w:vertAlign w:val="baseline"/>
                <w14:textFill>
                  <w14:solidFill>
                    <w14:schemeClr w14:val="tx1"/>
                  </w14:solidFill>
                </w14:textFill>
              </w:rPr>
            </w:pPr>
          </w:p>
        </w:tc>
      </w:tr>
    </w:tbl>
    <w:p w14:paraId="74931FCE">
      <w:pPr>
        <w:shd w:val="clear"/>
        <w:rPr>
          <w:rFonts w:hint="default" w:ascii="Times New Roman" w:hAnsi="Times New Roman" w:eastAsia="宋体" w:cs="Times New Roman"/>
          <w:color w:val="000000" w:themeColor="text1"/>
          <w:sz w:val="21"/>
          <w:szCs w:val="21"/>
          <w:highlight w:val="none"/>
          <w14:textFill>
            <w14:solidFill>
              <w14:schemeClr w14:val="tx1"/>
            </w14:solidFill>
          </w14:textFill>
        </w:rPr>
        <w:sectPr>
          <w:footerReference r:id="rId6" w:type="default"/>
          <w:pgSz w:w="11906" w:h="16839"/>
          <w:pgMar w:top="1431" w:right="1418" w:bottom="1185" w:left="1482" w:header="0" w:footer="922" w:gutter="0"/>
          <w:pgNumType w:fmt="decimal"/>
          <w:cols w:space="720" w:num="1"/>
        </w:sectPr>
      </w:pPr>
    </w:p>
    <w:p w14:paraId="0307DBD2">
      <w:pPr>
        <w:pStyle w:val="3"/>
        <w:shd w:val="clear"/>
        <w:bidi w:val="0"/>
        <w:jc w:val="center"/>
        <w:rPr>
          <w:rFonts w:hint="default" w:ascii="Times New Roman" w:hAnsi="Times New Roman" w:eastAsia="宋体" w:cs="Times New Roman"/>
          <w:color w:val="000000" w:themeColor="text1"/>
          <w:highlight w:val="none"/>
          <w14:textFill>
            <w14:solidFill>
              <w14:schemeClr w14:val="tx1"/>
            </w14:solidFill>
          </w14:textFill>
        </w:rPr>
      </w:pPr>
      <w:bookmarkStart w:id="6" w:name="_Toc1559"/>
      <w:r>
        <w:rPr>
          <w:rFonts w:hint="default" w:ascii="Times New Roman" w:hAnsi="Times New Roman" w:eastAsia="宋体" w:cs="Times New Roman"/>
          <w:color w:val="000000" w:themeColor="text1"/>
          <w:sz w:val="32"/>
          <w:szCs w:val="32"/>
          <w:highlight w:val="none"/>
          <w14:textFill>
            <w14:solidFill>
              <w14:schemeClr w14:val="tx1"/>
            </w14:solidFill>
          </w14:textFill>
        </w:rPr>
        <w:t>二、建设项目工程分析</w:t>
      </w:r>
      <w:bookmarkEnd w:id="6"/>
    </w:p>
    <w:tbl>
      <w:tblPr>
        <w:tblStyle w:val="33"/>
        <w:tblpPr w:leftFromText="180" w:rightFromText="180" w:vertAnchor="text" w:horzAnchor="page" w:tblpX="1689" w:tblpY="190"/>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18"/>
        <w:gridCol w:w="8642"/>
      </w:tblGrid>
      <w:tr w14:paraId="48B5A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88" w:type="dxa"/>
            <w:noWrap w:val="0"/>
            <w:vAlign w:val="center"/>
          </w:tcPr>
          <w:p w14:paraId="5E71DD7D">
            <w:pPr>
              <w:pStyle w:val="30"/>
              <w:shd w:val="clear"/>
              <w:adjustRightInd w:val="0"/>
              <w:snapToGrid w:val="0"/>
              <w:spacing w:before="0" w:beforeAutospacing="0" w:after="0" w:afterAutospacing="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建设内容</w:t>
            </w:r>
          </w:p>
        </w:tc>
        <w:tc>
          <w:tcPr>
            <w:tcW w:w="8396" w:type="dxa"/>
            <w:shd w:val="clear" w:color="auto" w:fill="auto"/>
            <w:noWrap w:val="0"/>
            <w:vAlign w:val="top"/>
          </w:tcPr>
          <w:p w14:paraId="1DE38D81">
            <w:pPr>
              <w:keepNext w:val="0"/>
              <w:keepLines w:val="0"/>
              <w:pageBreakBefore w:val="0"/>
              <w:suppressLineNumbers w:val="0"/>
              <w:shd w:val="clear"/>
              <w:kinsoku/>
              <w:bidi w:val="0"/>
              <w:spacing w:before="0" w:beforeAutospacing="0" w:after="0" w:afterAutospacing="0" w:line="360" w:lineRule="auto"/>
              <w:ind w:left="0" w:right="0" w:firstLine="482" w:firstLineChars="200"/>
              <w:textAlignment w:val="baseline"/>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一、环评类别判定说明</w:t>
            </w:r>
          </w:p>
          <w:p w14:paraId="02325E49">
            <w:pPr>
              <w:keepNext/>
              <w:keepLines/>
              <w:pageBreakBefore w:val="0"/>
              <w:widowControl w:val="0"/>
              <w:numPr>
                <w:ilvl w:val="0"/>
                <w:numId w:val="0"/>
              </w:numPr>
              <w:suppressLineNumbers w:val="0"/>
              <w:shd w:val="clear"/>
              <w:kinsoku/>
              <w:bidi w:val="0"/>
              <w:spacing w:before="0" w:beforeAutospacing="0" w:after="0" w:afterAutospacing="0" w:line="360" w:lineRule="auto"/>
              <w:ind w:left="420" w:leftChars="0" w:right="0" w:rightChars="0" w:hanging="420" w:firstLineChars="0"/>
              <w:jc w:val="center"/>
              <w:textAlignment w:val="baseline"/>
              <w:outlineLvl w:val="7"/>
              <w:rPr>
                <w:rFonts w:hint="default" w:ascii="Times New Roman" w:hAnsi="Times New Roman" w:eastAsia="宋体" w:cs="Times New Roman"/>
                <w:b/>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lang w:val="zh-CN" w:eastAsia="zh-CN" w:bidi="ar-SA"/>
                <w14:textFill>
                  <w14:solidFill>
                    <w14:schemeClr w14:val="tx1"/>
                  </w14:solidFill>
                </w14:textFill>
              </w:rPr>
              <w:t>表2环评类别判定表</w:t>
            </w:r>
          </w:p>
          <w:tbl>
            <w:tblPr>
              <w:tblStyle w:val="33"/>
              <w:tblW w:w="4743" w:type="pct"/>
              <w:tblInd w:w="2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47"/>
              <w:gridCol w:w="1335"/>
              <w:gridCol w:w="1137"/>
              <w:gridCol w:w="2573"/>
              <w:gridCol w:w="954"/>
              <w:gridCol w:w="737"/>
            </w:tblGrid>
            <w:tr w14:paraId="5F36B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73" w:hRule="atLeast"/>
              </w:trPr>
              <w:tc>
                <w:tcPr>
                  <w:tcW w:w="781" w:type="pct"/>
                  <w:noWrap w:val="0"/>
                  <w:vAlign w:val="center"/>
                </w:tcPr>
                <w:p w14:paraId="7D12EA77">
                  <w:pPr>
                    <w:shd w:val="clear"/>
                    <w:bidi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国民经济行业类别</w:t>
                  </w:r>
                </w:p>
              </w:tc>
              <w:tc>
                <w:tcPr>
                  <w:tcW w:w="836" w:type="pct"/>
                  <w:noWrap w:val="0"/>
                  <w:vAlign w:val="center"/>
                </w:tcPr>
                <w:p w14:paraId="38904032">
                  <w:pPr>
                    <w:shd w:val="clear"/>
                    <w:bidi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产品产能</w:t>
                  </w:r>
                </w:p>
              </w:tc>
              <w:tc>
                <w:tcPr>
                  <w:tcW w:w="712" w:type="pct"/>
                  <w:noWrap w:val="0"/>
                  <w:vAlign w:val="center"/>
                </w:tcPr>
                <w:p w14:paraId="27771CD7">
                  <w:pPr>
                    <w:shd w:val="clear"/>
                    <w:bidi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工艺</w:t>
                  </w:r>
                </w:p>
              </w:tc>
              <w:tc>
                <w:tcPr>
                  <w:tcW w:w="1611" w:type="pct"/>
                  <w:noWrap w:val="0"/>
                  <w:vAlign w:val="center"/>
                </w:tcPr>
                <w:p w14:paraId="4F7D31E0">
                  <w:pPr>
                    <w:shd w:val="clear"/>
                    <w:bidi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对应名录的条款</w:t>
                  </w:r>
                </w:p>
              </w:tc>
              <w:tc>
                <w:tcPr>
                  <w:tcW w:w="597" w:type="pct"/>
                  <w:noWrap w:val="0"/>
                  <w:vAlign w:val="center"/>
                </w:tcPr>
                <w:p w14:paraId="59A8C84D">
                  <w:pPr>
                    <w:shd w:val="clear"/>
                    <w:bidi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敏感区</w:t>
                  </w:r>
                </w:p>
              </w:tc>
              <w:tc>
                <w:tcPr>
                  <w:tcW w:w="461" w:type="pct"/>
                  <w:noWrap w:val="0"/>
                  <w:vAlign w:val="center"/>
                </w:tcPr>
                <w:p w14:paraId="4768CA2B">
                  <w:pPr>
                    <w:shd w:val="clear"/>
                    <w:bidi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类别</w:t>
                  </w:r>
                </w:p>
              </w:tc>
            </w:tr>
            <w:tr w14:paraId="11218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781" w:type="pct"/>
                  <w:noWrap w:val="0"/>
                  <w:vAlign w:val="center"/>
                </w:tcPr>
                <w:p w14:paraId="4FF472F0">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C3392有色金属铸造</w:t>
                  </w:r>
                </w:p>
                <w:p w14:paraId="4987F7B7">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C3879灯用电器附件及其他照明器具制造</w:t>
                  </w:r>
                </w:p>
                <w:p w14:paraId="2CE7AB45">
                  <w:pPr>
                    <w:keepNext w:val="0"/>
                    <w:keepLines w:val="0"/>
                    <w:widowControl/>
                    <w:suppressLineNumbers w:val="0"/>
                    <w:shd w:val="clear"/>
                    <w:spacing w:line="240" w:lineRule="auto"/>
                    <w:jc w:val="center"/>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C3670汽车零部件及配件制造</w:t>
                  </w:r>
                </w:p>
              </w:tc>
              <w:tc>
                <w:tcPr>
                  <w:tcW w:w="836" w:type="pct"/>
                  <w:noWrap w:val="0"/>
                  <w:vAlign w:val="center"/>
                </w:tcPr>
                <w:p w14:paraId="52D8CF3F">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年产铝合金</w:t>
                  </w:r>
                  <w:r>
                    <w:rPr>
                      <w:rFonts w:hint="eastAsia" w:cs="Times New Roman"/>
                      <w:color w:val="000000" w:themeColor="text1"/>
                      <w:sz w:val="21"/>
                      <w:szCs w:val="21"/>
                      <w:highlight w:val="none"/>
                      <w:lang w:val="en-US" w:eastAsia="zh-CN"/>
                      <w14:textFill>
                        <w14:solidFill>
                          <w14:schemeClr w14:val="tx1"/>
                        </w14:solidFill>
                      </w14:textFill>
                    </w:rPr>
                    <w:t>压铸件</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240吨/年、锌合金</w:t>
                  </w:r>
                  <w:r>
                    <w:rPr>
                      <w:rFonts w:hint="eastAsia" w:cs="Times New Roman"/>
                      <w:color w:val="000000" w:themeColor="text1"/>
                      <w:sz w:val="21"/>
                      <w:szCs w:val="21"/>
                      <w:highlight w:val="none"/>
                      <w:lang w:val="en-US" w:eastAsia="zh-CN"/>
                      <w14:textFill>
                        <w14:solidFill>
                          <w14:schemeClr w14:val="tx1"/>
                        </w14:solidFill>
                      </w14:textFill>
                    </w:rPr>
                    <w:t>压铸件</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20吨/年</w:t>
                  </w:r>
                </w:p>
              </w:tc>
              <w:tc>
                <w:tcPr>
                  <w:tcW w:w="712" w:type="pct"/>
                  <w:noWrap w:val="0"/>
                  <w:vAlign w:val="center"/>
                </w:tcPr>
                <w:p w14:paraId="738D47A5">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熔融、压铸、去水口、研磨、钻孔攻牙、抛光</w:t>
                  </w:r>
                </w:p>
              </w:tc>
              <w:tc>
                <w:tcPr>
                  <w:tcW w:w="1611" w:type="pct"/>
                  <w:noWrap w:val="0"/>
                  <w:vAlign w:val="center"/>
                </w:tcPr>
                <w:p w14:paraId="1516C020">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三十、金属制品业33--68.铸造及其他金属制品制造--其他（仅分割、焊接、组装的除外）</w:t>
                  </w:r>
                </w:p>
                <w:p w14:paraId="7D8CB9B4">
                  <w:pPr>
                    <w:keepNext w:val="0"/>
                    <w:keepLines w:val="0"/>
                    <w:widowControl/>
                    <w:suppressLineNumbers w:val="0"/>
                    <w:shd w:val="clear"/>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三十五、电气机械和器材制造业38，77照明器具制造387-其他（仅分割、焊接、组装的除外；年用非溶剂型低VOCs含量涂料10吨以下的除外）</w:t>
                  </w:r>
                </w:p>
                <w:p w14:paraId="5F13096F">
                  <w:pPr>
                    <w:keepNext w:val="0"/>
                    <w:keepLines w:val="0"/>
                    <w:widowControl/>
                    <w:suppressLineNumbers w:val="0"/>
                    <w:shd w:val="clear"/>
                    <w:spacing w:line="240" w:lineRule="auto"/>
                    <w:jc w:val="center"/>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三十三、汽车制造业36--71汽车零部件及配件制造367--</w:t>
                  </w: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其他（仅分割、焊接、组装的除外；年用非溶剂型低VOCs含量涂料10吨以下的除外）</w:t>
                  </w:r>
                </w:p>
              </w:tc>
              <w:tc>
                <w:tcPr>
                  <w:tcW w:w="597" w:type="pct"/>
                  <w:vMerge w:val="restart"/>
                  <w:noWrap w:val="0"/>
                  <w:vAlign w:val="center"/>
                </w:tcPr>
                <w:p w14:paraId="4D1D3542">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无</w:t>
                  </w:r>
                </w:p>
              </w:tc>
              <w:tc>
                <w:tcPr>
                  <w:tcW w:w="461" w:type="pct"/>
                  <w:vMerge w:val="restart"/>
                  <w:noWrap w:val="0"/>
                  <w:vAlign w:val="center"/>
                </w:tcPr>
                <w:p w14:paraId="6FA81CDD">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报告表</w:t>
                  </w:r>
                </w:p>
              </w:tc>
            </w:tr>
            <w:tr w14:paraId="0F114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781" w:type="pct"/>
                  <w:noWrap w:val="0"/>
                  <w:vAlign w:val="center"/>
                </w:tcPr>
                <w:p w14:paraId="05DE4FBF">
                  <w:pPr>
                    <w:pStyle w:val="48"/>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t>C3525模具制造</w:t>
                  </w:r>
                </w:p>
              </w:tc>
              <w:tc>
                <w:tcPr>
                  <w:tcW w:w="836" w:type="pct"/>
                  <w:noWrap w:val="0"/>
                  <w:vAlign w:val="center"/>
                </w:tcPr>
                <w:p w14:paraId="04134695">
                  <w:pPr>
                    <w:shd w:val="clear"/>
                    <w:bidi w:val="0"/>
                    <w:spacing w:line="240" w:lineRule="auto"/>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年产模具10吨/年</w:t>
                  </w:r>
                </w:p>
              </w:tc>
              <w:tc>
                <w:tcPr>
                  <w:tcW w:w="712" w:type="pct"/>
                  <w:noWrap w:val="0"/>
                  <w:vAlign w:val="center"/>
                </w:tcPr>
                <w:p w14:paraId="0D56141A">
                  <w:pPr>
                    <w:shd w:val="clear"/>
                    <w:bidi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机加工</w:t>
                  </w:r>
                </w:p>
              </w:tc>
              <w:tc>
                <w:tcPr>
                  <w:tcW w:w="1611" w:type="pct"/>
                  <w:noWrap w:val="0"/>
                  <w:vAlign w:val="center"/>
                </w:tcPr>
                <w:p w14:paraId="19FE4AAD">
                  <w:pPr>
                    <w:pStyle w:val="48"/>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t>三十二、专用设备制造35</w:t>
                  </w:r>
                  <w:r>
                    <w:rPr>
                      <w:rFonts w:hint="eastAsia" w:ascii="Times New Roman" w:hAnsi="Times New Roman" w:eastAsia="宋体"/>
                      <w:color w:val="000000" w:themeColor="text1"/>
                      <w:szCs w:val="21"/>
                      <w:highlight w:val="none"/>
                      <w:lang w:eastAsia="zh-CN"/>
                      <w14:textFill>
                        <w14:solidFill>
                          <w14:schemeClr w14:val="tx1"/>
                        </w14:solidFill>
                      </w14:textFill>
                    </w:rPr>
                    <w:t>－</w:t>
                  </w:r>
                  <w:r>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t>70、化工、木材、非金属加工专用设备制造</w:t>
                  </w:r>
                  <w:r>
                    <w:rPr>
                      <w:rFonts w:hint="eastAsia" w:ascii="Times New Roman" w:cstheme="minorBidi"/>
                      <w:color w:val="000000" w:themeColor="text1"/>
                      <w:kern w:val="2"/>
                      <w:sz w:val="21"/>
                      <w:szCs w:val="21"/>
                      <w:highlight w:val="none"/>
                      <w:lang w:val="en-US" w:eastAsia="zh-CN" w:bidi="ar-SA"/>
                      <w14:textFill>
                        <w14:solidFill>
                          <w14:schemeClr w14:val="tx1"/>
                        </w14:solidFill>
                      </w14:textFill>
                    </w:rPr>
                    <w:t>352</w:t>
                  </w:r>
                  <w:r>
                    <w:rPr>
                      <w:rFonts w:hint="eastAsia" w:ascii="Times New Roman" w:hAnsi="Times New Roman" w:eastAsia="宋体"/>
                      <w:color w:val="000000" w:themeColor="text1"/>
                      <w:szCs w:val="21"/>
                      <w:highlight w:val="none"/>
                      <w:lang w:eastAsia="zh-CN"/>
                      <w14:textFill>
                        <w14:solidFill>
                          <w14:schemeClr w14:val="tx1"/>
                        </w14:solidFill>
                      </w14:textFill>
                    </w:rPr>
                    <w:t>－</w:t>
                  </w:r>
                  <w:r>
                    <w:rPr>
                      <w:rFonts w:hint="eastAsia" w:ascii="Times New Roman" w:cstheme="minorBidi"/>
                      <w:color w:val="000000" w:themeColor="text1"/>
                      <w:kern w:val="2"/>
                      <w:sz w:val="21"/>
                      <w:szCs w:val="21"/>
                      <w:highlight w:val="none"/>
                      <w:lang w:val="en-US" w:eastAsia="zh-CN" w:bidi="ar-SA"/>
                      <w14:textFill>
                        <w14:solidFill>
                          <w14:schemeClr w14:val="tx1"/>
                        </w14:solidFill>
                      </w14:textFill>
                    </w:rPr>
                    <w:t>其他</w:t>
                  </w:r>
                  <w:r>
                    <w:rPr>
                      <w:rFonts w:hint="eastAsia" w:ascii="宋体" w:hAnsi="宋体" w:eastAsia="宋体" w:cs="宋体"/>
                      <w:color w:val="000000" w:themeColor="text1"/>
                      <w:kern w:val="0"/>
                      <w:sz w:val="20"/>
                      <w:szCs w:val="20"/>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仅分割、焊接、组装的除外；年用非溶剂型低VOCs含量涂料10吨以下的除外）</w:t>
                  </w:r>
                </w:p>
              </w:tc>
              <w:tc>
                <w:tcPr>
                  <w:tcW w:w="597" w:type="pct"/>
                  <w:vMerge w:val="continue"/>
                  <w:noWrap w:val="0"/>
                  <w:vAlign w:val="center"/>
                </w:tcPr>
                <w:p w14:paraId="5EB221CB">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61" w:type="pct"/>
                  <w:vMerge w:val="continue"/>
                  <w:noWrap w:val="0"/>
                  <w:vAlign w:val="center"/>
                </w:tcPr>
                <w:p w14:paraId="777CCECE">
                  <w:pPr>
                    <w:shd w:val="clear"/>
                    <w:bidi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bl>
          <w:p w14:paraId="1688EE19">
            <w:pPr>
              <w:keepNext w:val="0"/>
              <w:keepLines w:val="0"/>
              <w:pageBreakBefore w:val="0"/>
              <w:suppressLineNumbers w:val="0"/>
              <w:shd w:val="clear"/>
              <w:kinsoku/>
              <w:bidi w:val="0"/>
              <w:spacing w:before="0" w:beforeAutospacing="0" w:after="0" w:afterAutospacing="0" w:line="360" w:lineRule="auto"/>
              <w:ind w:left="0" w:right="0" w:firstLine="482" w:firstLineChars="200"/>
              <w:textAlignment w:val="baseline"/>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二、编制依据</w:t>
            </w:r>
          </w:p>
          <w:p w14:paraId="1D26F3E2">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（1）《中华人民共和国环境保护法》（2015年1月1日起施行）；</w:t>
            </w:r>
          </w:p>
          <w:p w14:paraId="2231E1AE">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（2）《中华人民共和国环境影响评价法（2018年修正）》；</w:t>
            </w:r>
          </w:p>
          <w:p w14:paraId="1F55636B">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（3）《中华人民共和国水污染防治法》（2018年1月1日起施行）；</w:t>
            </w:r>
          </w:p>
          <w:p w14:paraId="4E560A98">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（4）《中华人民共和国大气污染防治法》（2018年10月26日修订）；</w:t>
            </w:r>
          </w:p>
          <w:p w14:paraId="74D74764">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（5）《中华人民共和国噪声污染防治法》（2022年6月5日起施行）；</w:t>
            </w:r>
          </w:p>
          <w:p w14:paraId="24BB6210">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（6）《建设项目环境保护管理条例》（2017年7月16日修订）；</w:t>
            </w:r>
          </w:p>
          <w:p w14:paraId="03F431F0">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（7）《建设项目环境影响评价分类管理名录》（2021版）；</w:t>
            </w:r>
          </w:p>
          <w:p w14:paraId="0912BA73">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（8）《建设项目环境影响报告表编制技术指南（污染影响类）（试行）》（环办环评〔2020〕33号）；</w:t>
            </w:r>
          </w:p>
          <w:p w14:paraId="7E7D6513">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（9）《中山市“三线一单”生态环境分区管控方案（2024年版）》；</w:t>
            </w:r>
          </w:p>
          <w:p w14:paraId="598C5AF2">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（10）《产业结构调整指导目录（2024年本）》；</w:t>
            </w:r>
          </w:p>
          <w:p w14:paraId="3019AB8C">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（11）《市场准入负面清单（202</w:t>
            </w:r>
            <w: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年版）》；</w:t>
            </w:r>
          </w:p>
          <w:p w14:paraId="113F3C2C">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（12）《产业发展与转移指导目录（2018年本）》；</w:t>
            </w:r>
          </w:p>
          <w:p w14:paraId="5ACAF9DE">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（13）《国民经济行业分类》（GB/T4754-2017）及其修改单；</w:t>
            </w:r>
          </w:p>
          <w:p w14:paraId="26C38067">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（14）《排污单位自行监测技术指南总则》（HJ819-2017）；</w:t>
            </w:r>
          </w:p>
          <w:p w14:paraId="2658194D">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（15）《排污许可证申请与核发技术规范总则》（HJ942-2018）；</w:t>
            </w:r>
          </w:p>
          <w:p w14:paraId="2ED5DC92">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（16）《中山市涉挥发性有机物项目环保管理规定》（中环规字〔2021〕1号）；</w:t>
            </w:r>
          </w:p>
          <w:p w14:paraId="704DAF57">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（17）《中山市环境空气质量功能区划（2020年修订）》；</w:t>
            </w:r>
          </w:p>
          <w:p w14:paraId="13ACCF61">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（18）《中山市水功能区管理办法》（中府〔2008〕96号）；</w:t>
            </w:r>
          </w:p>
          <w:p w14:paraId="0053288D">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（19）《中山市声环境功能区划方案（2021年修编）》；</w:t>
            </w:r>
          </w:p>
          <w:p w14:paraId="5A7D71EA">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（20）《中山市202</w:t>
            </w:r>
            <w:r>
              <w:rPr>
                <w:rFonts w:hint="eastAsia" w:cs="Times New Roman"/>
                <w:color w:val="000000" w:themeColor="text1"/>
                <w:kern w:val="2"/>
                <w:sz w:val="21"/>
                <w:szCs w:val="21"/>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年大气环境质量状况公报》；</w:t>
            </w:r>
          </w:p>
          <w:p w14:paraId="594B1C6F">
            <w:pPr>
              <w:keepNext w:val="0"/>
              <w:keepLines w:val="0"/>
              <w:pageBreakBefore w:val="0"/>
              <w:suppressLineNumbers w:val="0"/>
              <w:shd w:val="clear"/>
              <w:kinsoku/>
              <w:bidi w:val="0"/>
              <w:spacing w:before="0" w:beforeAutospacing="0" w:after="0" w:afterAutospacing="0" w:line="360" w:lineRule="auto"/>
              <w:ind w:left="0" w:right="0" w:firstLine="420" w:firstLineChars="200"/>
              <w:textAlignment w:val="baseline"/>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（21）《202</w:t>
            </w:r>
            <w:r>
              <w:rPr>
                <w:rFonts w:hint="eastAsia" w:cs="Times New Roman"/>
                <w:color w:val="000000" w:themeColor="text1"/>
                <w:kern w:val="2"/>
                <w:sz w:val="21"/>
                <w:szCs w:val="21"/>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年中山市生态环境质量报告书》（公众版）</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p w14:paraId="5E6043CA">
            <w:pPr>
              <w:keepNext w:val="0"/>
              <w:keepLines w:val="0"/>
              <w:pageBreakBefore w:val="0"/>
              <w:suppressLineNumbers w:val="0"/>
              <w:shd w:val="clear"/>
              <w:kinsoku/>
              <w:bidi w:val="0"/>
              <w:spacing w:before="0" w:beforeAutospacing="0" w:after="0" w:afterAutospacing="0" w:line="360" w:lineRule="auto"/>
              <w:ind w:left="0" w:right="0" w:firstLine="482" w:firstLineChars="200"/>
              <w:textAlignment w:val="baseline"/>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三、项目建设内容</w:t>
            </w:r>
          </w:p>
          <w:p w14:paraId="2D7E9CA9">
            <w:pPr>
              <w:pStyle w:val="48"/>
              <w:spacing w:line="360" w:lineRule="auto"/>
              <w:ind w:firstLine="420" w:firstLineChars="200"/>
              <w:jc w:val="both"/>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中山快科五金压铸有限公司位于</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中山市南朗街道第六工业区逸仙公路222号</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B栋C区</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（E113°29′3</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3.072</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″，N22°31′</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9.081</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″）。总用地面积为</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1200</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㎡，总建筑面积为</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100</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0㎡，总投资300万元，其中环保投资30万元。主要从事生产、加工、销售</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铝合金</w:t>
            </w:r>
            <w:r>
              <w:rPr>
                <w:rFonts w:hint="eastAsia" w:ascii="Times New Roman" w:cs="Times New Roman"/>
                <w:b w:val="0"/>
                <w:bCs w:val="0"/>
                <w:color w:val="000000" w:themeColor="text1"/>
                <w:sz w:val="21"/>
                <w:szCs w:val="21"/>
                <w:lang w:val="en-US" w:eastAsia="zh-CN"/>
                <w14:textFill>
                  <w14:solidFill>
                    <w14:schemeClr w14:val="tx1"/>
                  </w14:solidFill>
                </w14:textFill>
              </w:rPr>
              <w:t>压铸件</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、锌合金</w:t>
            </w:r>
            <w:r>
              <w:rPr>
                <w:rFonts w:hint="eastAsia" w:ascii="Times New Roman" w:cs="Times New Roman"/>
                <w:b w:val="0"/>
                <w:bCs w:val="0"/>
                <w:color w:val="000000" w:themeColor="text1"/>
                <w:sz w:val="21"/>
                <w:szCs w:val="21"/>
                <w:lang w:val="en-US" w:eastAsia="zh-CN"/>
                <w14:textFill>
                  <w14:solidFill>
                    <w14:schemeClr w14:val="tx1"/>
                  </w14:solidFill>
                </w14:textFill>
              </w:rPr>
              <w:t>压铸件、模具</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。年产铝合金</w:t>
            </w:r>
            <w:r>
              <w:rPr>
                <w:rFonts w:hint="eastAsia" w:ascii="Times New Roman" w:cs="Times New Roman"/>
                <w:b w:val="0"/>
                <w:bCs w:val="0"/>
                <w:color w:val="000000" w:themeColor="text1"/>
                <w:sz w:val="21"/>
                <w:szCs w:val="21"/>
                <w:lang w:val="en-US" w:eastAsia="zh-CN"/>
                <w14:textFill>
                  <w14:solidFill>
                    <w14:schemeClr w14:val="tx1"/>
                  </w14:solidFill>
                </w14:textFill>
              </w:rPr>
              <w:t>压铸件</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240吨/年、锌合金</w:t>
            </w:r>
            <w:r>
              <w:rPr>
                <w:rFonts w:hint="eastAsia" w:ascii="Times New Roman" w:cs="Times New Roman"/>
                <w:b w:val="0"/>
                <w:bCs w:val="0"/>
                <w:color w:val="000000" w:themeColor="text1"/>
                <w:sz w:val="21"/>
                <w:szCs w:val="21"/>
                <w:lang w:val="en-US" w:eastAsia="zh-CN"/>
                <w14:textFill>
                  <w14:solidFill>
                    <w14:schemeClr w14:val="tx1"/>
                  </w14:solidFill>
                </w14:textFill>
              </w:rPr>
              <w:t>压铸件</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20吨/年</w:t>
            </w:r>
            <w:r>
              <w:rPr>
                <w:rFonts w:hint="eastAsia" w:ascii="Times New Roman" w:cs="Times New Roman"/>
                <w:b w:val="0"/>
                <w:bCs w:val="0"/>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模具10吨/年</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w:t>
            </w:r>
          </w:p>
          <w:p w14:paraId="27E418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项目所在地西北面为</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耕地</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；西南面为中山厚德快速模具有限公司；东南面为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泛达科技园</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；东北面为</w:t>
            </w:r>
            <w:r>
              <w:rPr>
                <w:rFonts w:hint="eastAsia" w:cs="Times New Roman"/>
                <w:color w:val="000000" w:themeColor="text1"/>
                <w:sz w:val="21"/>
                <w:szCs w:val="21"/>
                <w:highlight w:val="none"/>
                <w:lang w:val="en-US" w:eastAsia="zh-CN"/>
                <w14:textFill>
                  <w14:solidFill>
                    <w14:schemeClr w14:val="tx1"/>
                  </w14:solidFill>
                </w14:textFill>
              </w:rPr>
              <w:t>林地</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109901AE">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240" w:afterAutospacing="0" w:line="360" w:lineRule="auto"/>
              <w:ind w:left="0" w:right="0" w:firstLine="482" w:firstLineChars="200"/>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1、基本信息</w:t>
            </w:r>
          </w:p>
          <w:p w14:paraId="5B3BE90C">
            <w:pPr>
              <w:keepNext/>
              <w:keepLines/>
              <w:pageBreakBefore w:val="0"/>
              <w:widowControl w:val="0"/>
              <w:numPr>
                <w:ilvl w:val="0"/>
                <w:numId w:val="0"/>
              </w:numPr>
              <w:suppressLineNumbers w:val="0"/>
              <w:shd w:val="clear"/>
              <w:kinsoku/>
              <w:bidi w:val="0"/>
              <w:spacing w:before="0" w:beforeAutospacing="0" w:after="0" w:afterAutospacing="0" w:line="360" w:lineRule="auto"/>
              <w:ind w:left="420" w:leftChars="0" w:right="0" w:rightChars="0" w:hanging="420" w:firstLineChars="0"/>
              <w:jc w:val="center"/>
              <w:textAlignment w:val="baseline"/>
              <w:outlineLvl w:val="7"/>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表3本项目工程组成一览表</w:t>
            </w:r>
          </w:p>
          <w:tbl>
            <w:tblPr>
              <w:tblStyle w:val="33"/>
              <w:tblW w:w="47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1136"/>
              <w:gridCol w:w="5746"/>
            </w:tblGrid>
            <w:tr w14:paraId="02DE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2" w:type="pct"/>
                  <w:noWrap w:val="0"/>
                  <w:vAlign w:val="center"/>
                </w:tcPr>
                <w:p w14:paraId="43428464">
                  <w:pPr>
                    <w:keepNext w:val="0"/>
                    <w:keepLines w:val="0"/>
                    <w:pageBreakBefore w:val="0"/>
                    <w:widowControl w:val="0"/>
                    <w:shd w:val="clear"/>
                    <w:kinsoku/>
                    <w:wordWrap/>
                    <w:overflowPunct/>
                    <w:topLinePunct w:val="0"/>
                    <w:autoSpaceDE/>
                    <w:autoSpaceDN/>
                    <w:bidi w:val="0"/>
                    <w:adjustRightInd w:val="0"/>
                    <w:snapToGrid w:val="0"/>
                    <w:spacing w:before="157" w:beforeLines="50" w:line="240" w:lineRule="auto"/>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工程类别</w:t>
                  </w:r>
                </w:p>
              </w:tc>
              <w:tc>
                <w:tcPr>
                  <w:tcW w:w="711" w:type="pct"/>
                  <w:noWrap w:val="0"/>
                  <w:vAlign w:val="center"/>
                </w:tcPr>
                <w:p w14:paraId="29ADEBD8">
                  <w:pPr>
                    <w:keepNext w:val="0"/>
                    <w:keepLines w:val="0"/>
                    <w:pageBreakBefore w:val="0"/>
                    <w:widowControl w:val="0"/>
                    <w:shd w:val="clear"/>
                    <w:kinsoku/>
                    <w:wordWrap/>
                    <w:overflowPunct/>
                    <w:topLinePunct w:val="0"/>
                    <w:autoSpaceDE/>
                    <w:autoSpaceDN/>
                    <w:bidi w:val="0"/>
                    <w:adjustRightInd w:val="0"/>
                    <w:snapToGrid w:val="0"/>
                    <w:spacing w:before="157" w:beforeLines="50" w:line="240" w:lineRule="auto"/>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工程内容</w:t>
                  </w:r>
                </w:p>
              </w:tc>
              <w:tc>
                <w:tcPr>
                  <w:tcW w:w="3596" w:type="pct"/>
                  <w:noWrap w:val="0"/>
                  <w:vAlign w:val="center"/>
                </w:tcPr>
                <w:p w14:paraId="65DE503F">
                  <w:pPr>
                    <w:keepNext w:val="0"/>
                    <w:keepLines w:val="0"/>
                    <w:pageBreakBefore w:val="0"/>
                    <w:widowControl w:val="0"/>
                    <w:shd w:val="clear"/>
                    <w:kinsoku/>
                    <w:wordWrap/>
                    <w:overflowPunct/>
                    <w:topLinePunct w:val="0"/>
                    <w:autoSpaceDE/>
                    <w:autoSpaceDN/>
                    <w:bidi w:val="0"/>
                    <w:adjustRightInd w:val="0"/>
                    <w:snapToGrid w:val="0"/>
                    <w:spacing w:before="157" w:beforeLines="5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建设内容和规模</w:t>
                  </w:r>
                </w:p>
              </w:tc>
            </w:tr>
            <w:tr w14:paraId="454D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2" w:type="pct"/>
                  <w:noWrap w:val="0"/>
                  <w:vAlign w:val="center"/>
                </w:tcPr>
                <w:p w14:paraId="198E5A2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工程概况</w:t>
                  </w:r>
                </w:p>
              </w:tc>
              <w:tc>
                <w:tcPr>
                  <w:tcW w:w="4307" w:type="pct"/>
                  <w:gridSpan w:val="2"/>
                  <w:noWrap w:val="0"/>
                  <w:vAlign w:val="center"/>
                </w:tcPr>
                <w:p w14:paraId="6C392EB0">
                  <w:pPr>
                    <w:keepNext w:val="0"/>
                    <w:keepLines w:val="0"/>
                    <w:widowControl/>
                    <w:suppressLineNumbers w:val="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总用地面积为</w:t>
                  </w:r>
                  <w:r>
                    <w:rPr>
                      <w:rFonts w:hint="eastAsia" w:cs="Times New Roman"/>
                      <w:color w:val="000000" w:themeColor="text1"/>
                      <w:sz w:val="21"/>
                      <w:szCs w:val="21"/>
                      <w:highlight w:val="none"/>
                      <w:lang w:val="en-US" w:eastAsia="zh-CN"/>
                      <w14:textFill>
                        <w14:solidFill>
                          <w14:schemeClr w14:val="tx1"/>
                        </w14:solidFill>
                      </w14:textFill>
                    </w:rPr>
                    <w:t>1200m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，总建筑面积为</w:t>
                  </w:r>
                  <w:r>
                    <w:rPr>
                      <w:rFonts w:hint="eastAsia" w:cs="Times New Roman"/>
                      <w:color w:val="000000" w:themeColor="text1"/>
                      <w:sz w:val="21"/>
                      <w:szCs w:val="21"/>
                      <w:highlight w:val="none"/>
                      <w:lang w:val="en-US" w:eastAsia="zh-CN"/>
                      <w14:textFill>
                        <w14:solidFill>
                          <w14:schemeClr w14:val="tx1"/>
                        </w14:solidFill>
                      </w14:textFill>
                    </w:rPr>
                    <w:t>1000m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设有1栋1层的钢筋混凝土墙，锌铁皮棚顶建筑物。</w:t>
                  </w:r>
                </w:p>
              </w:tc>
            </w:tr>
            <w:tr w14:paraId="1C88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2" w:type="pct"/>
                  <w:noWrap w:val="0"/>
                  <w:vAlign w:val="center"/>
                </w:tcPr>
                <w:p w14:paraId="0258FB6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主体工程</w:t>
                  </w:r>
                </w:p>
              </w:tc>
              <w:tc>
                <w:tcPr>
                  <w:tcW w:w="711" w:type="pct"/>
                  <w:noWrap w:val="0"/>
                  <w:vAlign w:val="center"/>
                </w:tcPr>
                <w:p w14:paraId="38077F4C">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生产车间</w:t>
                  </w:r>
                </w:p>
              </w:tc>
              <w:tc>
                <w:tcPr>
                  <w:tcW w:w="3596" w:type="pct"/>
                  <w:noWrap w:val="0"/>
                  <w:vAlign w:val="center"/>
                </w:tcPr>
                <w:p w14:paraId="6F4452A2">
                  <w:pPr>
                    <w:pStyle w:val="17"/>
                    <w:shd w:val="clear"/>
                    <w:spacing w:line="240" w:lineRule="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1栋1层的钢筋混凝土墙，锌铁皮棚顶建筑物，建筑面积为1000㎡，</w:t>
                  </w:r>
                  <w:r>
                    <w:rPr>
                      <w:rFonts w:hint="default" w:ascii="Times New Roman" w:hAnsi="Times New Roman" w:eastAsia="宋体" w:cs="Times New Roman"/>
                      <w:color w:val="000000" w:themeColor="text1"/>
                      <w:spacing w:val="11"/>
                      <w:sz w:val="21"/>
                      <w:szCs w:val="21"/>
                      <w:highlight w:val="none"/>
                      <w:lang w:val="en-US" w:eastAsia="zh-CN"/>
                      <w14:textFill>
                        <w14:solidFill>
                          <w14:schemeClr w14:val="tx1"/>
                        </w14:solidFill>
                      </w14:textFill>
                    </w:rPr>
                    <w:t>层高为</w:t>
                  </w:r>
                  <w:r>
                    <w:rPr>
                      <w:rFonts w:hint="eastAsia" w:cs="Times New Roman"/>
                      <w:color w:val="000000" w:themeColor="text1"/>
                      <w:spacing w:val="1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pacing w:val="11"/>
                      <w:sz w:val="21"/>
                      <w:szCs w:val="21"/>
                      <w:highlight w:val="none"/>
                      <w:lang w:val="en-US" w:eastAsia="zh-CN"/>
                      <w14:textFill>
                        <w14:solidFill>
                          <w14:schemeClr w14:val="tx1"/>
                        </w14:solidFill>
                      </w14:textFill>
                    </w:rPr>
                    <w:t>m</w:t>
                  </w:r>
                  <w:r>
                    <w:rPr>
                      <w:rFonts w:hint="eastAsia" w:cs="Times New Roman"/>
                      <w:color w:val="000000" w:themeColor="text1"/>
                      <w:spacing w:val="11"/>
                      <w:sz w:val="21"/>
                      <w:szCs w:val="21"/>
                      <w:highlight w:val="none"/>
                      <w:lang w:val="en-US" w:eastAsia="zh-CN"/>
                      <w14:textFill>
                        <w14:solidFill>
                          <w14:schemeClr w14:val="tx1"/>
                        </w14:solidFill>
                      </w14:textFill>
                    </w:rPr>
                    <w:t>。设有压铸区、熔融区、钻孔攻牙区、抛光区、成品区、半成品区、原料区、废水暂存区、危废间、模具生产维修区。</w:t>
                  </w:r>
                </w:p>
              </w:tc>
            </w:tr>
            <w:tr w14:paraId="4133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92" w:type="pct"/>
                  <w:vMerge w:val="restart"/>
                  <w:noWrap w:val="0"/>
                  <w:vAlign w:val="center"/>
                </w:tcPr>
                <w:p w14:paraId="3833F2FC">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公用工程</w:t>
                  </w:r>
                </w:p>
              </w:tc>
              <w:tc>
                <w:tcPr>
                  <w:tcW w:w="711" w:type="pct"/>
                  <w:noWrap w:val="0"/>
                  <w:vAlign w:val="center"/>
                </w:tcPr>
                <w:p w14:paraId="3A446BE7">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供水</w:t>
                  </w:r>
                </w:p>
              </w:tc>
              <w:tc>
                <w:tcPr>
                  <w:tcW w:w="3596" w:type="pct"/>
                  <w:noWrap w:val="0"/>
                  <w:vAlign w:val="center"/>
                </w:tcPr>
                <w:p w14:paraId="7099EFB2">
                  <w:pPr>
                    <w:keepNext w:val="0"/>
                    <w:keepLines w:val="0"/>
                    <w:pageBreakBefore w:val="0"/>
                    <w:widowControl w:val="0"/>
                    <w:shd w:val="clear"/>
                    <w:kinsoku/>
                    <w:wordWrap/>
                    <w:overflowPunct/>
                    <w:topLinePunct w:val="0"/>
                    <w:autoSpaceDE/>
                    <w:autoSpaceDN/>
                    <w:bidi w:val="0"/>
                    <w:adjustRightInd w:val="0"/>
                    <w:snapToGrid w:val="0"/>
                    <w:spacing w:line="240" w:lineRule="auto"/>
                    <w:ind w:firstLine="1890" w:firstLineChars="9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由市政管网供给</w:t>
                  </w:r>
                </w:p>
              </w:tc>
            </w:tr>
            <w:tr w14:paraId="393E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2" w:type="pct"/>
                  <w:vMerge w:val="continue"/>
                  <w:noWrap w:val="0"/>
                  <w:vAlign w:val="center"/>
                </w:tcPr>
                <w:p w14:paraId="273F3CE2">
                  <w:pPr>
                    <w:keepNext w:val="0"/>
                    <w:keepLines w:val="0"/>
                    <w:pageBreakBefore w:val="0"/>
                    <w:widowControl w:val="0"/>
                    <w:shd w:val="clear"/>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11" w:type="pct"/>
                  <w:noWrap w:val="0"/>
                  <w:vAlign w:val="center"/>
                </w:tcPr>
                <w:p w14:paraId="381DD2D7">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供电</w:t>
                  </w:r>
                </w:p>
              </w:tc>
              <w:tc>
                <w:tcPr>
                  <w:tcW w:w="3596" w:type="pct"/>
                  <w:noWrap w:val="0"/>
                  <w:vAlign w:val="center"/>
                </w:tcPr>
                <w:p w14:paraId="08C494A1">
                  <w:pPr>
                    <w:keepNext w:val="0"/>
                    <w:keepLines w:val="0"/>
                    <w:pageBreakBefore w:val="0"/>
                    <w:widowControl w:val="0"/>
                    <w:shd w:val="clear"/>
                    <w:kinsoku/>
                    <w:wordWrap/>
                    <w:overflowPunct/>
                    <w:topLinePunct w:val="0"/>
                    <w:autoSpaceDE/>
                    <w:autoSpaceDN/>
                    <w:bidi w:val="0"/>
                    <w:adjustRightInd w:val="0"/>
                    <w:snapToGrid w:val="0"/>
                    <w:spacing w:line="240" w:lineRule="auto"/>
                    <w:ind w:firstLine="1890" w:firstLineChars="9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由市政</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电</w:t>
                  </w:r>
                  <w:r>
                    <w:rPr>
                      <w:rFonts w:hint="default" w:ascii="Times New Roman" w:hAnsi="Times New Roman" w:eastAsia="宋体" w:cs="Times New Roman"/>
                      <w:color w:val="000000" w:themeColor="text1"/>
                      <w:sz w:val="21"/>
                      <w:szCs w:val="21"/>
                      <w:highlight w:val="none"/>
                      <w14:textFill>
                        <w14:solidFill>
                          <w14:schemeClr w14:val="tx1"/>
                        </w14:solidFill>
                      </w14:textFill>
                    </w:rPr>
                    <w:t>网供给</w:t>
                  </w:r>
                </w:p>
              </w:tc>
            </w:tr>
            <w:tr w14:paraId="1F24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692" w:type="pct"/>
                  <w:vMerge w:val="restart"/>
                  <w:noWrap w:val="0"/>
                  <w:vAlign w:val="center"/>
                </w:tcPr>
                <w:p w14:paraId="47DA58A7">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环保工程</w:t>
                  </w:r>
                </w:p>
              </w:tc>
              <w:tc>
                <w:tcPr>
                  <w:tcW w:w="711" w:type="pct"/>
                  <w:noWrap w:val="0"/>
                  <w:vAlign w:val="center"/>
                </w:tcPr>
                <w:p w14:paraId="7F5C7EBF">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废气治理设施</w:t>
                  </w:r>
                </w:p>
              </w:tc>
              <w:tc>
                <w:tcPr>
                  <w:tcW w:w="3596" w:type="pct"/>
                  <w:noWrap w:val="0"/>
                  <w:vAlign w:val="center"/>
                </w:tcPr>
                <w:p w14:paraId="40312FCB">
                  <w:pPr>
                    <w:keepNext w:val="0"/>
                    <w:keepLines w:val="0"/>
                    <w:pageBreakBefore w:val="0"/>
                    <w:widowControl w:val="0"/>
                    <w:shd w:val="clear"/>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w:t>
                  </w:r>
                  <w:r>
                    <w:rPr>
                      <w:rFonts w:hint="eastAsia" w:cs="Times New Roman"/>
                      <w:color w:val="000000" w:themeColor="text1"/>
                      <w:sz w:val="21"/>
                      <w:szCs w:val="21"/>
                      <w:highlight w:val="none"/>
                      <w:lang w:val="en-US" w:eastAsia="zh-CN"/>
                      <w14:textFill>
                        <w14:solidFill>
                          <w14:schemeClr w14:val="tx1"/>
                        </w14:solidFill>
                      </w14:textFill>
                    </w:rPr>
                    <w:t>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熔融、压铸、脱模废气集气罩收集、液化石油气</w:t>
                  </w:r>
                  <w:r>
                    <w:rPr>
                      <w:rFonts w:hint="eastAsia" w:cs="Times New Roman"/>
                      <w:color w:val="000000" w:themeColor="text1"/>
                      <w:sz w:val="21"/>
                      <w:szCs w:val="21"/>
                      <w:highlight w:val="none"/>
                      <w:lang w:val="en-US" w:eastAsia="zh-CN"/>
                      <w14:textFill>
                        <w14:solidFill>
                          <w14:schemeClr w14:val="tx1"/>
                        </w14:solidFill>
                      </w14:textFill>
                    </w:rPr>
                    <w:t>燃烧废气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经</w:t>
                  </w:r>
                  <w:r>
                    <w:rPr>
                      <w:rFonts w:hint="eastAsia" w:cs="Times New Roman"/>
                      <w:color w:val="000000" w:themeColor="text1"/>
                      <w:sz w:val="21"/>
                      <w:szCs w:val="21"/>
                      <w:highlight w:val="none"/>
                      <w:lang w:val="en-US" w:eastAsia="zh-CN"/>
                      <w14:textFill>
                        <w14:solidFill>
                          <w14:schemeClr w14:val="tx1"/>
                        </w14:solidFill>
                      </w14:textFill>
                    </w:rPr>
                    <w:t>管道</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收集，收集</w:t>
                  </w:r>
                  <w:r>
                    <w:rPr>
                      <w:rFonts w:hint="eastAsia" w:cs="Times New Roman"/>
                      <w:color w:val="000000" w:themeColor="text1"/>
                      <w:sz w:val="21"/>
                      <w:szCs w:val="21"/>
                      <w:highlight w:val="none"/>
                      <w:lang w:val="en-US" w:eastAsia="zh-CN"/>
                      <w14:textFill>
                        <w14:solidFill>
                          <w14:schemeClr w14:val="tx1"/>
                        </w14:solidFill>
                      </w14:textFill>
                    </w:rPr>
                    <w:t>后的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废气经水喷淋装置处理后</w:t>
                  </w:r>
                  <w:r>
                    <w:rPr>
                      <w:rFonts w:hint="eastAsia" w:cs="Times New Roman"/>
                      <w:color w:val="000000" w:themeColor="text1"/>
                      <w:sz w:val="21"/>
                      <w:szCs w:val="21"/>
                      <w:highlight w:val="none"/>
                      <w:lang w:val="en-US" w:eastAsia="zh-CN"/>
                      <w14:textFill>
                        <w14:solidFill>
                          <w14:schemeClr w14:val="tx1"/>
                        </w14:solidFill>
                      </w14:textFill>
                    </w:rPr>
                    <w:t>排气筒有组织排放（G1排气筒，风量15000m³/h）；钻孔攻牙废气产生的</w:t>
                  </w:r>
                  <w:r>
                    <w:rPr>
                      <w:rFonts w:hint="eastAsia" w:ascii="Times New Roman" w:hAnsi="Times New Roman" w:eastAsia="宋体"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非甲烷总烃</w:t>
                  </w:r>
                  <w:r>
                    <w:rPr>
                      <w:rFonts w:hint="eastAsia"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和臭气浓度</w:t>
                  </w:r>
                  <w:r>
                    <w:rPr>
                      <w:rFonts w:hint="eastAsia" w:cs="Times New Roman"/>
                      <w:color w:val="000000" w:themeColor="text1"/>
                      <w:sz w:val="21"/>
                      <w:szCs w:val="21"/>
                      <w:highlight w:val="none"/>
                      <w:lang w:val="en-US" w:eastAsia="zh-CN"/>
                      <w14:textFill>
                        <w14:solidFill>
                          <w14:schemeClr w14:val="tx1"/>
                        </w14:solidFill>
                      </w14:textFill>
                    </w:rPr>
                    <w:t>无组织排放；研磨废气产生的颗粒物无组织排放；抛光废气产生的颗粒物无组织排放；机加工废气产生的</w:t>
                  </w:r>
                  <w:r>
                    <w:rPr>
                      <w:rFonts w:hint="eastAsia" w:ascii="Times New Roman" w:hAnsi="Times New Roman" w:eastAsia="宋体"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非甲烷总烃、</w:t>
                  </w:r>
                  <w:r>
                    <w:rPr>
                      <w:rFonts w:hint="eastAsia"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臭气浓度和</w:t>
                  </w:r>
                  <w:r>
                    <w:rPr>
                      <w:rFonts w:hint="eastAsia" w:cs="Times New Roman"/>
                      <w:color w:val="000000" w:themeColor="text1"/>
                      <w:sz w:val="21"/>
                      <w:szCs w:val="21"/>
                      <w:highlight w:val="none"/>
                      <w:lang w:val="en-US" w:eastAsia="zh-CN"/>
                      <w14:textFill>
                        <w14:solidFill>
                          <w14:schemeClr w14:val="tx1"/>
                        </w14:solidFill>
                      </w14:textFill>
                    </w:rPr>
                    <w:t>颗粒物无组织排放。</w:t>
                  </w:r>
                </w:p>
              </w:tc>
            </w:tr>
            <w:tr w14:paraId="24CC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2" w:type="pct"/>
                  <w:vMerge w:val="continue"/>
                  <w:noWrap w:val="0"/>
                  <w:vAlign w:val="center"/>
                </w:tcPr>
                <w:p w14:paraId="7E69BBA6">
                  <w:pPr>
                    <w:keepNext w:val="0"/>
                    <w:keepLines w:val="0"/>
                    <w:pageBreakBefore w:val="0"/>
                    <w:widowControl w:val="0"/>
                    <w:shd w:val="clear"/>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11" w:type="pct"/>
                  <w:noWrap w:val="0"/>
                  <w:vAlign w:val="center"/>
                </w:tcPr>
                <w:p w14:paraId="093A3424">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废水治理措施</w:t>
                  </w:r>
                </w:p>
              </w:tc>
              <w:tc>
                <w:tcPr>
                  <w:tcW w:w="3596" w:type="pct"/>
                  <w:noWrap w:val="0"/>
                  <w:vAlign w:val="center"/>
                </w:tcPr>
                <w:p w14:paraId="7C5B6121">
                  <w:pPr>
                    <w:shd w:val="clear"/>
                    <w:spacing w:line="240" w:lineRule="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项目产生的生活污水经化粪池预处理后经市政污水管网排入</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中山市南朗镇水务有限公司</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，处理达标后排入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涌口门上涌</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生产废水定期交由有废水处理能力的公司转移处理。</w:t>
                  </w:r>
                </w:p>
              </w:tc>
            </w:tr>
            <w:tr w14:paraId="7852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Merge w:val="continue"/>
                  <w:noWrap w:val="0"/>
                  <w:vAlign w:val="center"/>
                </w:tcPr>
                <w:p w14:paraId="43F4260C">
                  <w:pPr>
                    <w:keepNext w:val="0"/>
                    <w:keepLines w:val="0"/>
                    <w:pageBreakBefore w:val="0"/>
                    <w:widowControl w:val="0"/>
                    <w:shd w:val="clear"/>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11" w:type="pct"/>
                  <w:noWrap w:val="0"/>
                  <w:vAlign w:val="center"/>
                </w:tcPr>
                <w:p w14:paraId="36FB42E4">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噪声治理措施</w:t>
                  </w:r>
                </w:p>
              </w:tc>
              <w:tc>
                <w:tcPr>
                  <w:tcW w:w="3596" w:type="pct"/>
                  <w:noWrap w:val="0"/>
                  <w:vAlign w:val="center"/>
                </w:tcPr>
                <w:p w14:paraId="3206D48C">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对噪声源采取适当隔音、降噪措施</w:t>
                  </w:r>
                  <w:r>
                    <w:rPr>
                      <w:rFonts w:hint="default" w:ascii="Times New Roman" w:hAnsi="Times New Roman" w:eastAsia="宋体" w:cs="Times New Roman"/>
                      <w:color w:val="000000" w:themeColor="text1"/>
                      <w:spacing w:val="9"/>
                      <w:sz w:val="21"/>
                      <w:szCs w:val="21"/>
                      <w:highlight w:val="none"/>
                      <w:lang w:eastAsia="zh-CN"/>
                      <w14:textFill>
                        <w14:solidFill>
                          <w14:schemeClr w14:val="tx1"/>
                        </w14:solidFill>
                      </w14:textFill>
                    </w:rPr>
                    <w:t>。</w:t>
                  </w:r>
                </w:p>
              </w:tc>
            </w:tr>
            <w:tr w14:paraId="1E4A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92" w:type="pct"/>
                  <w:vMerge w:val="continue"/>
                  <w:noWrap w:val="0"/>
                  <w:vAlign w:val="center"/>
                </w:tcPr>
                <w:p w14:paraId="1E817817">
                  <w:pPr>
                    <w:keepNext w:val="0"/>
                    <w:keepLines w:val="0"/>
                    <w:pageBreakBefore w:val="0"/>
                    <w:widowControl w:val="0"/>
                    <w:shd w:val="clear"/>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11" w:type="pct"/>
                  <w:noWrap w:val="0"/>
                  <w:vAlign w:val="center"/>
                </w:tcPr>
                <w:p w14:paraId="6208AB08">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固废治理措施</w:t>
                  </w:r>
                </w:p>
              </w:tc>
              <w:tc>
                <w:tcPr>
                  <w:tcW w:w="3596" w:type="pct"/>
                  <w:noWrap w:val="0"/>
                  <w:vAlign w:val="top"/>
                </w:tcPr>
                <w:p w14:paraId="3AF47E47">
                  <w:pPr>
                    <w:pStyle w:val="75"/>
                    <w:keepNext w:val="0"/>
                    <w:keepLines w:val="0"/>
                    <w:pageBreakBefore w:val="0"/>
                    <w:widowControl w:val="0"/>
                    <w:shd w:val="clear"/>
                    <w:kinsoku/>
                    <w:wordWrap/>
                    <w:overflowPunct/>
                    <w:topLinePunct w:val="0"/>
                    <w:autoSpaceDE/>
                    <w:autoSpaceDN/>
                    <w:bidi w:val="0"/>
                    <w:spacing w:line="240" w:lineRule="auto"/>
                    <w:ind w:left="0" w:leftChars="0"/>
                    <w:textAlignment w:val="auto"/>
                    <w:rPr>
                      <w:rFonts w:hint="default" w:ascii="Times New Roman" w:hAnsi="Times New Roman" w:eastAsia="宋体" w:cs="Times New Roman"/>
                      <w:color w:val="000000" w:themeColor="text1"/>
                      <w:spacing w:val="9"/>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生活垃圾：交环卫部门统一清运</w:t>
                  </w:r>
                  <w:r>
                    <w:rPr>
                      <w:rFonts w:hint="default" w:ascii="Times New Roman" w:hAnsi="Times New Roman" w:eastAsia="宋体" w:cs="Times New Roman"/>
                      <w:color w:val="000000" w:themeColor="text1"/>
                      <w:spacing w:val="9"/>
                      <w:sz w:val="21"/>
                      <w:szCs w:val="21"/>
                      <w:highlight w:val="none"/>
                      <w:lang w:eastAsia="zh-CN"/>
                      <w14:textFill>
                        <w14:solidFill>
                          <w14:schemeClr w14:val="tx1"/>
                        </w14:solidFill>
                      </w14:textFill>
                    </w:rPr>
                    <w:t>；</w:t>
                  </w:r>
                </w:p>
                <w:p w14:paraId="533670ED">
                  <w:pPr>
                    <w:pStyle w:val="75"/>
                    <w:keepNext w:val="0"/>
                    <w:keepLines w:val="0"/>
                    <w:pageBreakBefore w:val="0"/>
                    <w:widowControl w:val="0"/>
                    <w:shd w:val="clear"/>
                    <w:kinsoku/>
                    <w:wordWrap/>
                    <w:overflowPunct/>
                    <w:topLinePunct w:val="0"/>
                    <w:autoSpaceDE/>
                    <w:autoSpaceDN/>
                    <w:bidi w:val="0"/>
                    <w:spacing w:line="240" w:lineRule="auto"/>
                    <w:ind w:left="0" w:leftChars="0"/>
                    <w:textAlignment w:val="auto"/>
                    <w:rPr>
                      <w:rFonts w:hint="default" w:ascii="Times New Roman" w:hAnsi="Times New Roman" w:eastAsia="宋体" w:cs="Times New Roman"/>
                      <w:color w:val="000000" w:themeColor="text1"/>
                      <w:spacing w:val="9"/>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一般工业固废</w:t>
                  </w:r>
                  <w:r>
                    <w:rPr>
                      <w:rFonts w:hint="default" w:ascii="Times New Roman" w:hAnsi="Times New Roman" w:cs="Times New Roman"/>
                      <w:color w:val="000000" w:themeColor="text1"/>
                      <w:spacing w:val="9"/>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pacing w:val="9"/>
                      <w:sz w:val="21"/>
                      <w:szCs w:val="21"/>
                      <w:highlight w:val="none"/>
                      <w:lang w:val="en-US" w:eastAsia="zh-CN"/>
                      <w14:textFill>
                        <w14:solidFill>
                          <w14:schemeClr w14:val="tx1"/>
                        </w14:solidFill>
                      </w14:textFill>
                    </w:rPr>
                    <w:t>1个一般固废间，面积为5㎡</w:t>
                  </w:r>
                  <w:r>
                    <w:rPr>
                      <w:rFonts w:hint="default" w:ascii="Times New Roman" w:hAnsi="Times New Roman" w:cs="Times New Roman"/>
                      <w:color w:val="000000" w:themeColor="text1"/>
                      <w:spacing w:val="9"/>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w:t>
                  </w:r>
                  <w:r>
                    <w:rPr>
                      <w:rFonts w:hint="eastAsia" w:cs="Times New Roman"/>
                      <w:color w:val="000000" w:themeColor="text1"/>
                      <w:kern w:val="0"/>
                      <w:sz w:val="21"/>
                      <w:szCs w:val="21"/>
                      <w:highlight w:val="none"/>
                      <w:lang w:val="en-US" w:eastAsia="zh-CN" w:bidi="ar-SA"/>
                      <w14:textFill>
                        <w14:solidFill>
                          <w14:schemeClr w14:val="tx1"/>
                        </w14:solidFill>
                      </w14:textFill>
                    </w:rPr>
                    <w:t>金属碎屑、抛光废水沉渣、废加工耗材、研磨废水沉渣、研磨废气沉降粉尘、一般废弃包装物</w:t>
                  </w: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收集后暂存于项目一般工业固废暂存间，交有一般工业固废处理能力的单位处理</w:t>
                  </w:r>
                  <w:r>
                    <w:rPr>
                      <w:rFonts w:hint="eastAsia" w:ascii="Times New Roman" w:hAnsi="Times New Roman" w:cs="Times New Roman"/>
                      <w:color w:val="000000" w:themeColor="text1"/>
                      <w:spacing w:val="9"/>
                      <w:sz w:val="21"/>
                      <w:szCs w:val="21"/>
                      <w:highlight w:val="none"/>
                      <w:lang w:eastAsia="zh-CN"/>
                      <w14:textFill>
                        <w14:solidFill>
                          <w14:schemeClr w14:val="tx1"/>
                        </w14:solidFill>
                      </w14:textFill>
                    </w:rPr>
                    <w:t>；</w:t>
                  </w:r>
                  <w:r>
                    <w:rPr>
                      <w:rFonts w:hint="eastAsia" w:cs="Times New Roman"/>
                      <w:color w:val="000000" w:themeColor="text1"/>
                      <w:kern w:val="0"/>
                      <w:sz w:val="21"/>
                      <w:szCs w:val="21"/>
                      <w:highlight w:val="none"/>
                      <w:lang w:val="en-US" w:eastAsia="zh-CN" w:bidi="ar-SA"/>
                      <w14:textFill>
                        <w14:solidFill>
                          <w14:schemeClr w14:val="tx1"/>
                        </w14:solidFill>
                      </w14:textFill>
                    </w:rPr>
                    <w:t>废气瓶交由供应商回收利用</w:t>
                  </w:r>
                  <w:r>
                    <w:rPr>
                      <w:rFonts w:hint="default" w:ascii="Times New Roman" w:hAnsi="Times New Roman" w:eastAsia="宋体" w:cs="Times New Roman"/>
                      <w:color w:val="000000" w:themeColor="text1"/>
                      <w:spacing w:val="9"/>
                      <w:sz w:val="21"/>
                      <w:szCs w:val="21"/>
                      <w:highlight w:val="none"/>
                      <w:lang w:eastAsia="zh-CN"/>
                      <w14:textFill>
                        <w14:solidFill>
                          <w14:schemeClr w14:val="tx1"/>
                        </w14:solidFill>
                      </w14:textFill>
                    </w:rPr>
                    <w:t>；</w:t>
                  </w:r>
                </w:p>
                <w:p w14:paraId="62E2FA6C">
                  <w:pPr>
                    <w:pStyle w:val="75"/>
                    <w:keepNext w:val="0"/>
                    <w:keepLines w:val="0"/>
                    <w:pageBreakBefore w:val="0"/>
                    <w:widowControl w:val="0"/>
                    <w:shd w:val="clear"/>
                    <w:kinsoku/>
                    <w:wordWrap/>
                    <w:overflowPunct/>
                    <w:topLinePunct w:val="0"/>
                    <w:autoSpaceDE/>
                    <w:autoSpaceDN/>
                    <w:bidi w:val="0"/>
                    <w:spacing w:line="240" w:lineRule="auto"/>
                    <w:ind w:left="0" w:left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危险废物</w:t>
                  </w:r>
                  <w:r>
                    <w:rPr>
                      <w:rFonts w:hint="default" w:ascii="Times New Roman" w:hAnsi="Times New Roman" w:cs="Times New Roman"/>
                      <w:color w:val="000000" w:themeColor="text1"/>
                      <w:spacing w:val="9"/>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pacing w:val="9"/>
                      <w:sz w:val="21"/>
                      <w:szCs w:val="21"/>
                      <w:highlight w:val="none"/>
                      <w:lang w:val="en-US" w:eastAsia="zh-CN"/>
                      <w14:textFill>
                        <w14:solidFill>
                          <w14:schemeClr w14:val="tx1"/>
                        </w14:solidFill>
                      </w14:textFill>
                    </w:rPr>
                    <w:t>1个危废间，面积为15㎡</w:t>
                  </w:r>
                  <w:r>
                    <w:rPr>
                      <w:rFonts w:hint="eastAsia" w:ascii="Times New Roman" w:hAnsi="Times New Roman" w:cs="Times New Roman"/>
                      <w:color w:val="000000" w:themeColor="text1"/>
                      <w:spacing w:val="9"/>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废</w:t>
                  </w:r>
                  <w:r>
                    <w:rPr>
                      <w:rFonts w:hint="eastAsia" w:cs="Times New Roman"/>
                      <w:color w:val="000000" w:themeColor="text1"/>
                      <w:sz w:val="21"/>
                      <w:szCs w:val="21"/>
                      <w:highlight w:val="none"/>
                      <w:lang w:val="en-US" w:eastAsia="zh-CN"/>
                      <w14:textFill>
                        <w14:solidFill>
                          <w14:schemeClr w14:val="tx1"/>
                        </w14:solidFill>
                      </w14:textFill>
                    </w:rPr>
                    <w:t>机</w:t>
                  </w:r>
                  <w:r>
                    <w:rPr>
                      <w:rFonts w:hint="default" w:ascii="Times New Roman" w:hAnsi="Times New Roman" w:eastAsia="宋体" w:cs="Times New Roman"/>
                      <w:color w:val="000000" w:themeColor="text1"/>
                      <w:sz w:val="21"/>
                      <w:szCs w:val="21"/>
                      <w:highlight w:val="none"/>
                      <w14:textFill>
                        <w14:solidFill>
                          <w14:schemeClr w14:val="tx1"/>
                        </w14:solidFill>
                      </w14:textFill>
                    </w:rPr>
                    <w:t>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及其包装物</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含油废抹布及废手套</w:t>
                  </w:r>
                  <w:r>
                    <w:rPr>
                      <w:rFonts w:hint="eastAsia" w:ascii="Times New Roman" w:hAnsi="Times New Roman" w:cs="Times New Roman"/>
                      <w:b w:val="0"/>
                      <w:bCs w:val="0"/>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废切削液、废包装物、废火花油及其包装物、锌、铝熔渣、喷淋沉渣、含切削液金属屑、含油金属屑</w:t>
                  </w: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收集后暂存于项目的危险废物暂存间，定期交由具有相关危险废物经营许可证的单位处理</w:t>
                  </w:r>
                  <w:r>
                    <w:rPr>
                      <w:rFonts w:hint="default" w:ascii="Times New Roman" w:hAnsi="Times New Roman" w:eastAsia="宋体" w:cs="Times New Roman"/>
                      <w:color w:val="000000" w:themeColor="text1"/>
                      <w:spacing w:val="9"/>
                      <w:sz w:val="21"/>
                      <w:szCs w:val="21"/>
                      <w:highlight w:val="none"/>
                      <w:lang w:eastAsia="zh-CN"/>
                      <w14:textFill>
                        <w14:solidFill>
                          <w14:schemeClr w14:val="tx1"/>
                        </w14:solidFill>
                      </w14:textFill>
                    </w:rPr>
                    <w:t>。</w:t>
                  </w:r>
                </w:p>
              </w:tc>
            </w:tr>
          </w:tbl>
          <w:p w14:paraId="7813FBE5">
            <w:pPr>
              <w:keepNext w:val="0"/>
              <w:keepLines w:val="0"/>
              <w:pageBreakBefore w:val="0"/>
              <w:suppressLineNumbers w:val="0"/>
              <w:shd w:val="clear"/>
              <w:kinsoku/>
              <w:bidi w:val="0"/>
              <w:spacing w:before="0" w:beforeAutospacing="0" w:after="0" w:afterAutospacing="0" w:line="360" w:lineRule="auto"/>
              <w:ind w:right="0" w:firstLine="482" w:firstLineChars="200"/>
              <w:textAlignment w:val="baseline"/>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color w:val="000000" w:themeColor="text1"/>
                <w:sz w:val="24"/>
                <w:szCs w:val="24"/>
                <w:highlight w:val="none"/>
                <w14:textFill>
                  <w14:solidFill>
                    <w14:schemeClr w14:val="tx1"/>
                  </w14:solidFill>
                </w14:textFill>
              </w:rPr>
              <w:t>、产品及产量情况</w:t>
            </w:r>
          </w:p>
          <w:p w14:paraId="3C10F683">
            <w:pPr>
              <w:keepNext w:val="0"/>
              <w:keepLines w:val="0"/>
              <w:pageBreakBefore w:val="0"/>
              <w:suppressLineNumbers w:val="0"/>
              <w:shd w:val="clear"/>
              <w:kinsoku/>
              <w:bidi w:val="0"/>
              <w:spacing w:before="0" w:beforeAutospacing="0" w:after="0" w:afterAutospacing="0" w:line="360" w:lineRule="auto"/>
              <w:ind w:left="0" w:right="0" w:firstLine="482" w:firstLineChars="200"/>
              <w:jc w:val="center"/>
              <w:textAlignment w:val="baseline"/>
              <w:rPr>
                <w:rFonts w:hint="eastAsia" w:cs="Times New Roman"/>
                <w:b/>
                <w:color w:val="000000" w:themeColor="text1"/>
                <w:sz w:val="24"/>
                <w:szCs w:val="24"/>
                <w:highlight w:val="none"/>
                <w:lang w:val="en-US" w:eastAsia="zh-CN"/>
                <w14:textFill>
                  <w14:solidFill>
                    <w14:schemeClr w14:val="tx1"/>
                  </w14:solidFill>
                </w14:textFill>
              </w:rPr>
            </w:pPr>
            <w:r>
              <w:rPr>
                <w:rFonts w:hint="eastAsia" w:cs="Times New Roman"/>
                <w:b/>
                <w:color w:val="000000" w:themeColor="text1"/>
                <w:sz w:val="24"/>
                <w:szCs w:val="24"/>
                <w:highlight w:val="none"/>
                <w:lang w:val="en-US" w:eastAsia="zh-CN"/>
                <w14:textFill>
                  <w14:solidFill>
                    <w14:schemeClr w14:val="tx1"/>
                  </w14:solidFill>
                </w14:textFill>
              </w:rPr>
              <w:t>表4本项目产品产量情况</w:t>
            </w:r>
          </w:p>
          <w:tbl>
            <w:tblPr>
              <w:tblStyle w:val="33"/>
              <w:tblW w:w="31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2219"/>
              <w:gridCol w:w="2062"/>
            </w:tblGrid>
            <w:tr w14:paraId="7D41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pct"/>
                  <w:noWrap w:val="0"/>
                  <w:vAlign w:val="center"/>
                </w:tcPr>
                <w:p w14:paraId="2D34386E">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序号</w:t>
                  </w:r>
                </w:p>
              </w:tc>
              <w:tc>
                <w:tcPr>
                  <w:tcW w:w="2079" w:type="pct"/>
                  <w:noWrap w:val="0"/>
                  <w:vAlign w:val="center"/>
                </w:tcPr>
                <w:p w14:paraId="13211444">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产品名称</w:t>
                  </w:r>
                </w:p>
              </w:tc>
              <w:tc>
                <w:tcPr>
                  <w:tcW w:w="1932" w:type="pct"/>
                  <w:noWrap w:val="0"/>
                  <w:vAlign w:val="center"/>
                </w:tcPr>
                <w:p w14:paraId="4246D54E">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年产量</w:t>
                  </w:r>
                </w:p>
              </w:tc>
            </w:tr>
            <w:tr w14:paraId="527F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pct"/>
                  <w:noWrap w:val="0"/>
                  <w:vAlign w:val="center"/>
                </w:tcPr>
                <w:p w14:paraId="59AAE624">
                  <w:pPr>
                    <w:jc w:val="center"/>
                    <w:rPr>
                      <w:b w:val="0"/>
                      <w:bCs w:val="0"/>
                      <w:color w:val="000000" w:themeColor="text1"/>
                      <w:szCs w:val="21"/>
                      <w14:textFill>
                        <w14:solidFill>
                          <w14:schemeClr w14:val="tx1"/>
                        </w14:solidFill>
                      </w14:textFill>
                    </w:rPr>
                  </w:pPr>
                  <w:r>
                    <w:rPr>
                      <w:b w:val="0"/>
                      <w:bCs w:val="0"/>
                      <w:color w:val="000000" w:themeColor="text1"/>
                      <w:szCs w:val="21"/>
                      <w14:textFill>
                        <w14:solidFill>
                          <w14:schemeClr w14:val="tx1"/>
                        </w14:solidFill>
                      </w14:textFill>
                    </w:rPr>
                    <w:t>1</w:t>
                  </w:r>
                </w:p>
              </w:tc>
              <w:tc>
                <w:tcPr>
                  <w:tcW w:w="2079" w:type="pct"/>
                  <w:noWrap w:val="0"/>
                  <w:vAlign w:val="center"/>
                </w:tcPr>
                <w:p w14:paraId="1484D99C">
                  <w:pPr>
                    <w:jc w:val="center"/>
                    <w:rPr>
                      <w:rFonts w:hint="default" w:eastAsia="宋体"/>
                      <w:b w:val="0"/>
                      <w:bCs w:val="0"/>
                      <w:color w:val="000000" w:themeColor="text1"/>
                      <w:szCs w:val="21"/>
                      <w:lang w:val="en-US" w:eastAsia="zh-CN"/>
                      <w14:textFill>
                        <w14:solidFill>
                          <w14:schemeClr w14:val="tx1"/>
                        </w14:solidFill>
                      </w14:textFill>
                    </w:rPr>
                  </w:pPr>
                  <w:r>
                    <w:rPr>
                      <w:b w:val="0"/>
                      <w:bCs w:val="0"/>
                      <w:color w:val="000000" w:themeColor="text1"/>
                      <w:szCs w:val="21"/>
                      <w14:textFill>
                        <w14:solidFill>
                          <w14:schemeClr w14:val="tx1"/>
                        </w14:solidFill>
                      </w14:textFill>
                    </w:rPr>
                    <w:t>铝合金</w:t>
                  </w:r>
                  <w:r>
                    <w:rPr>
                      <w:rFonts w:hint="eastAsia"/>
                      <w:b w:val="0"/>
                      <w:bCs w:val="0"/>
                      <w:color w:val="000000" w:themeColor="text1"/>
                      <w:szCs w:val="21"/>
                      <w:lang w:val="en-US" w:eastAsia="zh-CN"/>
                      <w14:textFill>
                        <w14:solidFill>
                          <w14:schemeClr w14:val="tx1"/>
                        </w14:solidFill>
                      </w14:textFill>
                    </w:rPr>
                    <w:t>压铸件</w:t>
                  </w:r>
                </w:p>
              </w:tc>
              <w:tc>
                <w:tcPr>
                  <w:tcW w:w="1932" w:type="pct"/>
                  <w:noWrap w:val="0"/>
                  <w:vAlign w:val="center"/>
                </w:tcPr>
                <w:p w14:paraId="3BE5C0BA">
                  <w:pPr>
                    <w:jc w:val="center"/>
                    <w:rPr>
                      <w:b w:val="0"/>
                      <w:bCs w:val="0"/>
                      <w:color w:val="000000" w:themeColor="text1"/>
                      <w:szCs w:val="21"/>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240</w:t>
                  </w:r>
                  <w:r>
                    <w:rPr>
                      <w:b w:val="0"/>
                      <w:bCs w:val="0"/>
                      <w:color w:val="000000" w:themeColor="text1"/>
                      <w:szCs w:val="21"/>
                      <w14:textFill>
                        <w14:solidFill>
                          <w14:schemeClr w14:val="tx1"/>
                        </w14:solidFill>
                      </w14:textFill>
                    </w:rPr>
                    <w:t>吨</w:t>
                  </w:r>
                </w:p>
              </w:tc>
            </w:tr>
            <w:tr w14:paraId="5948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pct"/>
                  <w:noWrap w:val="0"/>
                  <w:vAlign w:val="center"/>
                </w:tcPr>
                <w:p w14:paraId="3E31F37A">
                  <w:pPr>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2079" w:type="pct"/>
                  <w:noWrap w:val="0"/>
                  <w:vAlign w:val="center"/>
                </w:tcPr>
                <w:p w14:paraId="13BDBDC0">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锌合金</w:t>
                  </w:r>
                  <w:r>
                    <w:rPr>
                      <w:rFonts w:hint="eastAsia"/>
                      <w:color w:val="000000" w:themeColor="text1"/>
                      <w:szCs w:val="21"/>
                      <w:lang w:val="en-US" w:eastAsia="zh-CN"/>
                      <w14:textFill>
                        <w14:solidFill>
                          <w14:schemeClr w14:val="tx1"/>
                        </w14:solidFill>
                      </w14:textFill>
                    </w:rPr>
                    <w:t>压铸件</w:t>
                  </w:r>
                </w:p>
              </w:tc>
              <w:tc>
                <w:tcPr>
                  <w:tcW w:w="1932" w:type="pct"/>
                  <w:noWrap w:val="0"/>
                  <w:vAlign w:val="center"/>
                </w:tcPr>
                <w:p w14:paraId="358475D6">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20</w:t>
                  </w:r>
                  <w:r>
                    <w:rPr>
                      <w:rFonts w:hint="eastAsia"/>
                      <w:color w:val="000000" w:themeColor="text1"/>
                      <w:szCs w:val="21"/>
                      <w14:textFill>
                        <w14:solidFill>
                          <w14:schemeClr w14:val="tx1"/>
                        </w14:solidFill>
                      </w14:textFill>
                    </w:rPr>
                    <w:t>吨</w:t>
                  </w:r>
                </w:p>
              </w:tc>
            </w:tr>
            <w:tr w14:paraId="7598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pct"/>
                  <w:noWrap w:val="0"/>
                  <w:vAlign w:val="center"/>
                </w:tcPr>
                <w:p w14:paraId="15009C12">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w:t>
                  </w:r>
                </w:p>
              </w:tc>
              <w:tc>
                <w:tcPr>
                  <w:tcW w:w="2079" w:type="pct"/>
                  <w:noWrap w:val="0"/>
                  <w:vAlign w:val="center"/>
                </w:tcPr>
                <w:p w14:paraId="4BA7BF51">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模具</w:t>
                  </w:r>
                </w:p>
              </w:tc>
              <w:tc>
                <w:tcPr>
                  <w:tcW w:w="1932" w:type="pct"/>
                  <w:noWrap w:val="0"/>
                  <w:vAlign w:val="center"/>
                </w:tcPr>
                <w:p w14:paraId="0FA01144">
                  <w:pPr>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10吨</w:t>
                  </w:r>
                </w:p>
              </w:tc>
            </w:tr>
          </w:tbl>
          <w:p w14:paraId="443447AF">
            <w:pPr>
              <w:pStyle w:val="48"/>
              <w:keepNext w:val="0"/>
              <w:keepLines w:val="0"/>
              <w:pageBreakBefore w:val="0"/>
              <w:widowControl w:val="0"/>
              <w:kinsoku/>
              <w:wordWrap w:val="0"/>
              <w:overflowPunct w:val="0"/>
              <w:topLinePunct/>
              <w:autoSpaceDE w:val="0"/>
              <w:autoSpaceDN w:val="0"/>
              <w:bidi w:val="0"/>
              <w:adjustRightInd w:val="0"/>
              <w:snapToGrid/>
              <w:ind w:firstLine="420" w:firstLineChars="200"/>
              <w:jc w:val="left"/>
              <w:textAlignment w:val="auto"/>
              <w:rPr>
                <w:rFonts w:hint="default"/>
                <w:color w:val="000000" w:themeColor="text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注：本项目铝合金、锌合金压铸件主要用于</w:t>
            </w:r>
            <w:r>
              <w:rPr>
                <w:rFonts w:hint="eastAsia"/>
                <w:b w:val="0"/>
                <w:bCs w:val="0"/>
                <w:color w:val="000000" w:themeColor="text1"/>
                <w:sz w:val="21"/>
                <w:szCs w:val="21"/>
                <w:u w:val="none"/>
                <w:lang w:val="en-US" w:eastAsia="zh-CN"/>
                <w14:textFill>
                  <w14:solidFill>
                    <w14:schemeClr w14:val="tx1"/>
                  </w14:solidFill>
                </w14:textFill>
              </w:rPr>
              <w:t>灯具照明、汽车等产品的配件；模具为本项目自用。</w:t>
            </w:r>
          </w:p>
          <w:p w14:paraId="64CC5A2C">
            <w:pPr>
              <w:keepNext w:val="0"/>
              <w:keepLines w:val="0"/>
              <w:pageBreakBefore w:val="0"/>
              <w:suppressLineNumbers w:val="0"/>
              <w:shd w:val="clear"/>
              <w:kinsoku/>
              <w:bidi w:val="0"/>
              <w:spacing w:before="0" w:beforeAutospacing="0" w:after="0" w:afterAutospacing="0" w:line="360" w:lineRule="auto"/>
              <w:ind w:left="0" w:right="0" w:firstLine="482" w:firstLineChars="200"/>
              <w:textAlignment w:val="baseline"/>
              <w:rPr>
                <w:rFonts w:hint="default" w:ascii="Times New Roman" w:hAnsi="Times New Roman" w:eastAsia="宋体" w:cs="Times New Roman"/>
                <w:b/>
                <w:color w:val="000000" w:themeColor="text1"/>
                <w:sz w:val="24"/>
                <w:szCs w:val="24"/>
                <w:highlight w:val="yellow"/>
                <w:lang w:val="zh-CN"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color w:val="000000" w:themeColor="text1"/>
                <w:sz w:val="24"/>
                <w:szCs w:val="24"/>
                <w:highlight w:val="none"/>
                <w14:textFill>
                  <w14:solidFill>
                    <w14:schemeClr w14:val="tx1"/>
                  </w14:solidFill>
                </w14:textFill>
              </w:rPr>
              <w:t>、主要原辅材料</w:t>
            </w:r>
          </w:p>
          <w:p w14:paraId="10D0064B">
            <w:pPr>
              <w:keepNext/>
              <w:keepLines/>
              <w:pageBreakBefore w:val="0"/>
              <w:widowControl w:val="0"/>
              <w:numPr>
                <w:ilvl w:val="0"/>
                <w:numId w:val="0"/>
              </w:numPr>
              <w:suppressLineNumbers w:val="0"/>
              <w:shd w:val="clear"/>
              <w:kinsoku/>
              <w:bidi w:val="0"/>
              <w:spacing w:before="0" w:beforeAutospacing="0" w:after="0" w:afterAutospacing="0" w:line="360" w:lineRule="auto"/>
              <w:ind w:left="420" w:leftChars="0" w:right="0" w:rightChars="0" w:hanging="420" w:firstLineChars="0"/>
              <w:jc w:val="center"/>
              <w:textAlignment w:val="baseline"/>
              <w:outlineLvl w:val="7"/>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表5原材料及年耗</w:t>
            </w:r>
            <w:r>
              <w:rPr>
                <w:rFonts w:hint="default" w:ascii="Times New Roman" w:hAnsi="Times New Roman" w:eastAsia="宋体" w:cs="Times New Roman"/>
                <w:b/>
                <w:bCs/>
                <w:color w:val="000000" w:themeColor="text1"/>
                <w:spacing w:val="-3"/>
                <w:sz w:val="24"/>
                <w:szCs w:val="24"/>
                <w:highlight w:val="none"/>
                <w14:textFill>
                  <w14:solidFill>
                    <w14:schemeClr w14:val="tx1"/>
                  </w14:solidFill>
                </w14:textFill>
              </w:rPr>
              <w:t>表</w:t>
            </w:r>
          </w:p>
          <w:tbl>
            <w:tblPr>
              <w:tblStyle w:val="33"/>
              <w:tblW w:w="44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113"/>
              <w:gridCol w:w="691"/>
              <w:gridCol w:w="803"/>
              <w:gridCol w:w="1190"/>
              <w:gridCol w:w="963"/>
              <w:gridCol w:w="955"/>
              <w:gridCol w:w="1079"/>
            </w:tblGrid>
            <w:tr w14:paraId="4DD7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448" w:type="pct"/>
                  <w:noWrap w:val="0"/>
                  <w:vAlign w:val="center"/>
                </w:tcPr>
                <w:p w14:paraId="544BAF85">
                  <w:pPr>
                    <w:shd w:val="clear"/>
                    <w:adjustRightInd w:val="0"/>
                    <w:spacing w:line="240" w:lineRule="auto"/>
                    <w:jc w:val="center"/>
                    <w:textAlignment w:val="baseline"/>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序号</w:t>
                  </w:r>
                </w:p>
              </w:tc>
              <w:tc>
                <w:tcPr>
                  <w:tcW w:w="745" w:type="pct"/>
                  <w:noWrap w:val="0"/>
                  <w:vAlign w:val="center"/>
                </w:tcPr>
                <w:p w14:paraId="2A434346">
                  <w:pPr>
                    <w:shd w:val="clear"/>
                    <w:adjustRightInd w:val="0"/>
                    <w:spacing w:line="240" w:lineRule="auto"/>
                    <w:jc w:val="center"/>
                    <w:textAlignment w:val="baseline"/>
                    <w:rPr>
                      <w:rFonts w:hint="default" w:ascii="Times New Roman" w:hAnsi="Times New Roman" w:eastAsia="宋体" w:cs="Times New Roman"/>
                      <w:b/>
                      <w:bCs/>
                      <w:color w:val="000000" w:themeColor="text1"/>
                      <w:spacing w:val="2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463" w:type="pct"/>
                  <w:noWrap w:val="0"/>
                  <w:vAlign w:val="center"/>
                </w:tcPr>
                <w:p w14:paraId="25108521">
                  <w:pPr>
                    <w:shd w:val="clear"/>
                    <w:adjustRightIn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状态</w:t>
                  </w:r>
                </w:p>
              </w:tc>
              <w:tc>
                <w:tcPr>
                  <w:tcW w:w="538" w:type="pct"/>
                  <w:noWrap w:val="0"/>
                  <w:vAlign w:val="center"/>
                </w:tcPr>
                <w:p w14:paraId="016CCAD4">
                  <w:pPr>
                    <w:shd w:val="clear"/>
                    <w:adjustRightInd w:val="0"/>
                    <w:spacing w:line="240" w:lineRule="auto"/>
                    <w:jc w:val="center"/>
                    <w:textAlignment w:val="baseline"/>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年用量</w:t>
                  </w:r>
                  <w:r>
                    <w:rPr>
                      <w:rFonts w:hint="eastAsia" w:cs="Times New Roman"/>
                      <w:b/>
                      <w:bCs/>
                      <w:color w:val="000000" w:themeColor="text1"/>
                      <w:sz w:val="21"/>
                      <w:szCs w:val="21"/>
                      <w:highlight w:val="none"/>
                      <w:lang w:val="en-US" w:eastAsia="zh-CN"/>
                      <w14:textFill>
                        <w14:solidFill>
                          <w14:schemeClr w14:val="tx1"/>
                        </w14:solidFill>
                      </w14:textFill>
                    </w:rPr>
                    <w:t>t</w:t>
                  </w:r>
                </w:p>
              </w:tc>
              <w:tc>
                <w:tcPr>
                  <w:tcW w:w="797" w:type="pct"/>
                  <w:noWrap w:val="0"/>
                  <w:vAlign w:val="center"/>
                </w:tcPr>
                <w:p w14:paraId="794E110A">
                  <w:pPr>
                    <w:shd w:val="clear"/>
                    <w:adjustRightInd w:val="0"/>
                    <w:spacing w:line="240" w:lineRule="auto"/>
                    <w:jc w:val="center"/>
                    <w:textAlignment w:val="baseline"/>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所在工序</w:t>
                  </w:r>
                </w:p>
              </w:tc>
              <w:tc>
                <w:tcPr>
                  <w:tcW w:w="645" w:type="pct"/>
                  <w:noWrap w:val="0"/>
                  <w:vAlign w:val="center"/>
                </w:tcPr>
                <w:p w14:paraId="5EE68E03">
                  <w:pPr>
                    <w:shd w:val="clear"/>
                    <w:adjustRightInd w:val="0"/>
                    <w:spacing w:line="240" w:lineRule="auto"/>
                    <w:jc w:val="center"/>
                    <w:textAlignment w:val="baseline"/>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包装规格</w:t>
                  </w:r>
                </w:p>
              </w:tc>
              <w:tc>
                <w:tcPr>
                  <w:tcW w:w="639" w:type="pct"/>
                  <w:noWrap w:val="0"/>
                  <w:vAlign w:val="center"/>
                </w:tcPr>
                <w:p w14:paraId="0836A9DD">
                  <w:pPr>
                    <w:shd w:val="clear"/>
                    <w:adjustRightInd w:val="0"/>
                    <w:spacing w:line="240" w:lineRule="auto"/>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最大储存量</w:t>
                  </w:r>
                  <w:r>
                    <w:rPr>
                      <w:rFonts w:hint="eastAsia" w:cs="Times New Roman"/>
                      <w:b/>
                      <w:bCs/>
                      <w:color w:val="000000" w:themeColor="text1"/>
                      <w:sz w:val="21"/>
                      <w:szCs w:val="21"/>
                      <w:highlight w:val="none"/>
                      <w:lang w:val="en-US" w:eastAsia="zh-CN"/>
                      <w14:textFill>
                        <w14:solidFill>
                          <w14:schemeClr w14:val="tx1"/>
                        </w14:solidFill>
                      </w14:textFill>
                    </w:rPr>
                    <w:t>t</w:t>
                  </w:r>
                </w:p>
              </w:tc>
              <w:tc>
                <w:tcPr>
                  <w:tcW w:w="722" w:type="pct"/>
                  <w:noWrap w:val="0"/>
                  <w:vAlign w:val="center"/>
                </w:tcPr>
                <w:p w14:paraId="35F32313">
                  <w:pPr>
                    <w:shd w:val="clear"/>
                    <w:adjustRightInd w:val="0"/>
                    <w:spacing w:line="240" w:lineRule="auto"/>
                    <w:jc w:val="center"/>
                    <w:textAlignment w:val="baseline"/>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是否属于环境风险物质</w:t>
                  </w:r>
                </w:p>
              </w:tc>
            </w:tr>
            <w:tr w14:paraId="04AE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noWrap w:val="0"/>
                  <w:vAlign w:val="center"/>
                </w:tcPr>
                <w:p w14:paraId="5862D543">
                  <w:pPr>
                    <w:ind w:right="15" w:rightChars="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745" w:type="pct"/>
                  <w:noWrap w:val="0"/>
                  <w:vAlign w:val="center"/>
                </w:tcPr>
                <w:p w14:paraId="450510AC">
                  <w:pPr>
                    <w:ind w:right="15" w:right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szCs w:val="21"/>
                      <w14:textFill>
                        <w14:solidFill>
                          <w14:schemeClr w14:val="tx1"/>
                        </w14:solidFill>
                      </w14:textFill>
                    </w:rPr>
                    <w:t>铝</w:t>
                  </w:r>
                  <w:r>
                    <w:rPr>
                      <w:color w:val="000000" w:themeColor="text1"/>
                      <w:szCs w:val="21"/>
                      <w:lang w:val="zh-TW" w:eastAsia="zh-TW"/>
                      <w14:textFill>
                        <w14:solidFill>
                          <w14:schemeClr w14:val="tx1"/>
                        </w14:solidFill>
                      </w14:textFill>
                    </w:rPr>
                    <w:t>锭</w:t>
                  </w:r>
                </w:p>
              </w:tc>
              <w:tc>
                <w:tcPr>
                  <w:tcW w:w="463" w:type="pct"/>
                  <w:noWrap w:val="0"/>
                  <w:vAlign w:val="center"/>
                </w:tcPr>
                <w:p w14:paraId="34A334C5">
                  <w:pPr>
                    <w:shd w:val="clea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液态</w:t>
                  </w:r>
                </w:p>
              </w:tc>
              <w:tc>
                <w:tcPr>
                  <w:tcW w:w="538" w:type="pct"/>
                  <w:noWrap w:val="0"/>
                  <w:vAlign w:val="center"/>
                </w:tcPr>
                <w:p w14:paraId="0C3DD783">
                  <w:pPr>
                    <w:shd w:val="clear"/>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243.6</w:t>
                  </w:r>
                </w:p>
              </w:tc>
              <w:tc>
                <w:tcPr>
                  <w:tcW w:w="797" w:type="pct"/>
                  <w:shd w:val="clear" w:color="auto" w:fill="auto"/>
                  <w:noWrap w:val="0"/>
                  <w:vAlign w:val="center"/>
                </w:tcPr>
                <w:p w14:paraId="05CB17CE">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000000" w:themeColor="text1"/>
                      <w:spacing w:val="5"/>
                      <w:sz w:val="21"/>
                      <w:szCs w:val="21"/>
                      <w:highlight w:val="none"/>
                      <w14:textFill>
                        <w14:solidFill>
                          <w14:schemeClr w14:val="tx1"/>
                        </w14:solidFill>
                      </w14:textFill>
                    </w:rPr>
                  </w:pPr>
                  <w:r>
                    <w:rPr>
                      <w:rFonts w:ascii="Times New Roman" w:hAnsi="Times New Roman" w:eastAsia="宋体"/>
                      <w:color w:val="000000" w:themeColor="text1"/>
                      <w:spacing w:val="5"/>
                      <w:sz w:val="21"/>
                      <w:szCs w:val="21"/>
                      <w:highlight w:val="none"/>
                      <w14:textFill>
                        <w14:solidFill>
                          <w14:schemeClr w14:val="tx1"/>
                        </w14:solidFill>
                      </w14:textFill>
                    </w:rPr>
                    <w:t>熔融</w:t>
                  </w:r>
                </w:p>
                <w:p w14:paraId="3AAA21E2">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宋体"/>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olor w:val="000000" w:themeColor="text1"/>
                      <w:spacing w:val="-3"/>
                      <w:sz w:val="21"/>
                      <w:szCs w:val="21"/>
                      <w:highlight w:val="none"/>
                      <w14:textFill>
                        <w14:solidFill>
                          <w14:schemeClr w14:val="tx1"/>
                        </w14:solidFill>
                      </w14:textFill>
                    </w:rPr>
                    <w:t>压铸</w:t>
                  </w:r>
                </w:p>
              </w:tc>
              <w:tc>
                <w:tcPr>
                  <w:tcW w:w="645" w:type="pct"/>
                  <w:noWrap w:val="0"/>
                  <w:vAlign w:val="center"/>
                </w:tcPr>
                <w:p w14:paraId="653CE621">
                  <w:pPr>
                    <w:shd w:val="clea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1吨/扎</w:t>
                  </w:r>
                </w:p>
              </w:tc>
              <w:tc>
                <w:tcPr>
                  <w:tcW w:w="639" w:type="pct"/>
                  <w:noWrap w:val="0"/>
                  <w:vAlign w:val="center"/>
                </w:tcPr>
                <w:p w14:paraId="2FCE1DF3">
                  <w:pPr>
                    <w:shd w:val="clear"/>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10</w:t>
                  </w:r>
                </w:p>
              </w:tc>
              <w:tc>
                <w:tcPr>
                  <w:tcW w:w="722" w:type="pct"/>
                  <w:noWrap w:val="0"/>
                  <w:vAlign w:val="center"/>
                </w:tcPr>
                <w:p w14:paraId="4D38BD4D">
                  <w:pPr>
                    <w:widowControl/>
                    <w:shd w:val="clear"/>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否</w:t>
                  </w:r>
                </w:p>
              </w:tc>
            </w:tr>
            <w:tr w14:paraId="578B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noWrap w:val="0"/>
                  <w:vAlign w:val="center"/>
                </w:tcPr>
                <w:p w14:paraId="138DA490">
                  <w:pPr>
                    <w:ind w:right="15" w:rightChars="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w:t>
                  </w:r>
                </w:p>
              </w:tc>
              <w:tc>
                <w:tcPr>
                  <w:tcW w:w="745" w:type="pct"/>
                  <w:shd w:val="clear" w:color="auto" w:fill="auto"/>
                  <w:noWrap w:val="0"/>
                  <w:vAlign w:val="center"/>
                </w:tcPr>
                <w:p w14:paraId="1F137A88">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lang w:val="en-US" w:eastAsia="zh-CN"/>
                      <w14:textFill>
                        <w14:solidFill>
                          <w14:schemeClr w14:val="tx1"/>
                        </w14:solidFill>
                      </w14:textFill>
                    </w:rPr>
                    <w:t>锌</w:t>
                  </w:r>
                  <w:r>
                    <w:rPr>
                      <w:color w:val="000000" w:themeColor="text1"/>
                      <w:szCs w:val="21"/>
                      <w:lang w:val="zh-TW" w:eastAsia="zh-TW"/>
                      <w14:textFill>
                        <w14:solidFill>
                          <w14:schemeClr w14:val="tx1"/>
                        </w14:solidFill>
                      </w14:textFill>
                    </w:rPr>
                    <w:t>锭</w:t>
                  </w:r>
                </w:p>
              </w:tc>
              <w:tc>
                <w:tcPr>
                  <w:tcW w:w="463" w:type="pct"/>
                  <w:shd w:val="clear" w:color="auto" w:fill="auto"/>
                  <w:noWrap w:val="0"/>
                  <w:vAlign w:val="center"/>
                </w:tcPr>
                <w:p w14:paraId="70A75B44">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2"/>
                      <w:sz w:val="21"/>
                      <w:szCs w:val="21"/>
                      <w:highlight w:val="none"/>
                      <w:lang w:val="en-US" w:eastAsia="zh-CN" w:bidi="ar-SA"/>
                      <w14:textFill>
                        <w14:solidFill>
                          <w14:schemeClr w14:val="tx1"/>
                        </w14:solidFill>
                      </w14:textFill>
                    </w:rPr>
                    <w:t>液态</w:t>
                  </w:r>
                </w:p>
              </w:tc>
              <w:tc>
                <w:tcPr>
                  <w:tcW w:w="538" w:type="pct"/>
                  <w:noWrap w:val="0"/>
                  <w:vAlign w:val="center"/>
                </w:tcPr>
                <w:p w14:paraId="048EC351">
                  <w:pPr>
                    <w:shd w:val="clear"/>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20.6</w:t>
                  </w:r>
                </w:p>
              </w:tc>
              <w:tc>
                <w:tcPr>
                  <w:tcW w:w="797" w:type="pct"/>
                  <w:shd w:val="clear" w:color="auto" w:fill="auto"/>
                  <w:noWrap w:val="0"/>
                  <w:vAlign w:val="center"/>
                </w:tcPr>
                <w:p w14:paraId="75A9F74B">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000000" w:themeColor="text1"/>
                      <w:spacing w:val="5"/>
                      <w:sz w:val="21"/>
                      <w:szCs w:val="21"/>
                      <w:highlight w:val="none"/>
                      <w14:textFill>
                        <w14:solidFill>
                          <w14:schemeClr w14:val="tx1"/>
                        </w14:solidFill>
                      </w14:textFill>
                    </w:rPr>
                  </w:pPr>
                  <w:r>
                    <w:rPr>
                      <w:rFonts w:ascii="Times New Roman" w:hAnsi="Times New Roman" w:eastAsia="宋体"/>
                      <w:color w:val="000000" w:themeColor="text1"/>
                      <w:spacing w:val="5"/>
                      <w:sz w:val="21"/>
                      <w:szCs w:val="21"/>
                      <w:highlight w:val="none"/>
                      <w14:textFill>
                        <w14:solidFill>
                          <w14:schemeClr w14:val="tx1"/>
                        </w14:solidFill>
                      </w14:textFill>
                    </w:rPr>
                    <w:t>熔融</w:t>
                  </w:r>
                </w:p>
                <w:p w14:paraId="670AAAFF">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宋体"/>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olor w:val="000000" w:themeColor="text1"/>
                      <w:spacing w:val="-3"/>
                      <w:sz w:val="21"/>
                      <w:szCs w:val="21"/>
                      <w:highlight w:val="none"/>
                      <w14:textFill>
                        <w14:solidFill>
                          <w14:schemeClr w14:val="tx1"/>
                        </w14:solidFill>
                      </w14:textFill>
                    </w:rPr>
                    <w:t>压铸</w:t>
                  </w:r>
                </w:p>
              </w:tc>
              <w:tc>
                <w:tcPr>
                  <w:tcW w:w="645" w:type="pct"/>
                  <w:noWrap w:val="0"/>
                  <w:vAlign w:val="center"/>
                </w:tcPr>
                <w:p w14:paraId="6538C19D">
                  <w:pPr>
                    <w:shd w:val="clear"/>
                    <w:spacing w:line="240" w:lineRule="auto"/>
                    <w:jc w:val="cente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1吨/扎</w:t>
                  </w:r>
                </w:p>
              </w:tc>
              <w:tc>
                <w:tcPr>
                  <w:tcW w:w="639" w:type="pct"/>
                  <w:noWrap w:val="0"/>
                  <w:vAlign w:val="center"/>
                </w:tcPr>
                <w:p w14:paraId="1C48EDCD">
                  <w:pPr>
                    <w:shd w:val="clear"/>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p>
              </w:tc>
              <w:tc>
                <w:tcPr>
                  <w:tcW w:w="722" w:type="pct"/>
                  <w:noWrap w:val="0"/>
                  <w:vAlign w:val="center"/>
                </w:tcPr>
                <w:p w14:paraId="66E25CCC">
                  <w:pPr>
                    <w:widowControl/>
                    <w:shd w:val="clear"/>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否</w:t>
                  </w:r>
                </w:p>
              </w:tc>
            </w:tr>
            <w:tr w14:paraId="19D1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noWrap w:val="0"/>
                  <w:vAlign w:val="center"/>
                </w:tcPr>
                <w:p w14:paraId="1A3657FC">
                  <w:pPr>
                    <w:ind w:right="15" w:rightChars="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w:t>
                  </w:r>
                </w:p>
              </w:tc>
              <w:tc>
                <w:tcPr>
                  <w:tcW w:w="745" w:type="pct"/>
                  <w:shd w:val="clear" w:color="auto" w:fill="auto"/>
                  <w:noWrap w:val="0"/>
                  <w:vAlign w:val="center"/>
                </w:tcPr>
                <w:p w14:paraId="743044FD">
                  <w:pPr>
                    <w:ind w:right="15"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lang w:val="zh-TW" w:eastAsia="zh-TW"/>
                      <w14:textFill>
                        <w14:solidFill>
                          <w14:schemeClr w14:val="tx1"/>
                        </w14:solidFill>
                      </w14:textFill>
                    </w:rPr>
                    <w:t>脱模剂</w:t>
                  </w:r>
                </w:p>
              </w:tc>
              <w:tc>
                <w:tcPr>
                  <w:tcW w:w="463" w:type="pct"/>
                  <w:shd w:val="clear" w:color="auto" w:fill="auto"/>
                  <w:noWrap w:val="0"/>
                  <w:vAlign w:val="center"/>
                </w:tcPr>
                <w:p w14:paraId="7A9D22FA">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固态</w:t>
                  </w:r>
                </w:p>
              </w:tc>
              <w:tc>
                <w:tcPr>
                  <w:tcW w:w="538" w:type="pct"/>
                  <w:noWrap w:val="0"/>
                  <w:vAlign w:val="center"/>
                </w:tcPr>
                <w:p w14:paraId="5106D335">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w:t>
                  </w:r>
                </w:p>
              </w:tc>
              <w:tc>
                <w:tcPr>
                  <w:tcW w:w="797" w:type="pct"/>
                  <w:noWrap w:val="0"/>
                  <w:vAlign w:val="center"/>
                </w:tcPr>
                <w:p w14:paraId="22E94BF8">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压铸</w:t>
                  </w:r>
                </w:p>
              </w:tc>
              <w:tc>
                <w:tcPr>
                  <w:tcW w:w="645" w:type="pct"/>
                  <w:noWrap w:val="0"/>
                  <w:vAlign w:val="center"/>
                </w:tcPr>
                <w:p w14:paraId="66E460C5">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25kg/桶</w:t>
                  </w:r>
                </w:p>
              </w:tc>
              <w:tc>
                <w:tcPr>
                  <w:tcW w:w="639" w:type="pct"/>
                  <w:noWrap w:val="0"/>
                  <w:vAlign w:val="center"/>
                </w:tcPr>
                <w:p w14:paraId="179E0E3A">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w:t>
                  </w:r>
                </w:p>
              </w:tc>
              <w:tc>
                <w:tcPr>
                  <w:tcW w:w="722" w:type="pct"/>
                  <w:noWrap w:val="0"/>
                  <w:vAlign w:val="center"/>
                </w:tcPr>
                <w:p w14:paraId="65861B45">
                  <w:pPr>
                    <w:widowControl/>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否</w:t>
                  </w:r>
                </w:p>
              </w:tc>
            </w:tr>
            <w:tr w14:paraId="5E6D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noWrap w:val="0"/>
                  <w:vAlign w:val="center"/>
                </w:tcPr>
                <w:p w14:paraId="50E9C008">
                  <w:pPr>
                    <w:ind w:right="15" w:rightChars="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w:t>
                  </w:r>
                </w:p>
              </w:tc>
              <w:tc>
                <w:tcPr>
                  <w:tcW w:w="745" w:type="pct"/>
                  <w:shd w:val="clear" w:color="auto" w:fill="auto"/>
                  <w:noWrap w:val="0"/>
                  <w:vAlign w:val="center"/>
                </w:tcPr>
                <w:p w14:paraId="45968FAD">
                  <w:pPr>
                    <w:ind w:right="15"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lang w:val="en-US" w:eastAsia="zh-CN"/>
                      <w14:textFill>
                        <w14:solidFill>
                          <w14:schemeClr w14:val="tx1"/>
                        </w14:solidFill>
                      </w14:textFill>
                    </w:rPr>
                    <w:t>切削液</w:t>
                  </w:r>
                </w:p>
              </w:tc>
              <w:tc>
                <w:tcPr>
                  <w:tcW w:w="463" w:type="pct"/>
                  <w:shd w:val="clear" w:color="auto" w:fill="auto"/>
                  <w:noWrap w:val="0"/>
                  <w:vAlign w:val="center"/>
                </w:tcPr>
                <w:p w14:paraId="3FA9AD67">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液态</w:t>
                  </w:r>
                </w:p>
              </w:tc>
              <w:tc>
                <w:tcPr>
                  <w:tcW w:w="538" w:type="pct"/>
                  <w:noWrap w:val="0"/>
                  <w:vAlign w:val="center"/>
                </w:tcPr>
                <w:p w14:paraId="6A947B08">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797" w:type="pct"/>
                  <w:noWrap w:val="0"/>
                  <w:vAlign w:val="center"/>
                </w:tcPr>
                <w:p w14:paraId="7753DC0B">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钻孔攻牙</w:t>
                  </w:r>
                </w:p>
              </w:tc>
              <w:tc>
                <w:tcPr>
                  <w:tcW w:w="645" w:type="pct"/>
                  <w:noWrap w:val="0"/>
                  <w:vAlign w:val="center"/>
                </w:tcPr>
                <w:p w14:paraId="7709EEBE">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25kg/桶</w:t>
                  </w:r>
                </w:p>
              </w:tc>
              <w:tc>
                <w:tcPr>
                  <w:tcW w:w="639" w:type="pct"/>
                  <w:noWrap w:val="0"/>
                  <w:vAlign w:val="center"/>
                </w:tcPr>
                <w:p w14:paraId="69366EED">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w:t>
                  </w:r>
                </w:p>
              </w:tc>
              <w:tc>
                <w:tcPr>
                  <w:tcW w:w="722" w:type="pct"/>
                  <w:noWrap w:val="0"/>
                  <w:vAlign w:val="center"/>
                </w:tcPr>
                <w:p w14:paraId="7DAC82D2">
                  <w:pPr>
                    <w:widowControl/>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是，临界量为2500t</w:t>
                  </w:r>
                </w:p>
              </w:tc>
            </w:tr>
            <w:tr w14:paraId="23C0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8" w:type="pct"/>
                  <w:shd w:val="clear" w:color="auto" w:fill="auto"/>
                  <w:noWrap w:val="0"/>
                  <w:vAlign w:val="center"/>
                </w:tcPr>
                <w:p w14:paraId="5ECA9304">
                  <w:pPr>
                    <w:ind w:right="15" w:rightChars="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745" w:type="pct"/>
                  <w:shd w:val="clear" w:color="auto" w:fill="auto"/>
                  <w:noWrap w:val="0"/>
                  <w:vAlign w:val="center"/>
                </w:tcPr>
                <w:p w14:paraId="63C37B70">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14:textFill>
                        <w14:solidFill>
                          <w14:schemeClr w14:val="tx1"/>
                        </w14:solidFill>
                      </w14:textFill>
                    </w:rPr>
                    <w:t>机油</w:t>
                  </w:r>
                </w:p>
              </w:tc>
              <w:tc>
                <w:tcPr>
                  <w:tcW w:w="463" w:type="pct"/>
                  <w:shd w:val="clear" w:color="auto" w:fill="auto"/>
                  <w:noWrap w:val="0"/>
                  <w:vAlign w:val="center"/>
                </w:tcPr>
                <w:p w14:paraId="7652691B">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液态</w:t>
                  </w:r>
                </w:p>
              </w:tc>
              <w:tc>
                <w:tcPr>
                  <w:tcW w:w="538" w:type="pct"/>
                  <w:noWrap w:val="0"/>
                  <w:vAlign w:val="center"/>
                </w:tcPr>
                <w:p w14:paraId="5F29B390">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0.5</w:t>
                  </w:r>
                </w:p>
              </w:tc>
              <w:tc>
                <w:tcPr>
                  <w:tcW w:w="797" w:type="pct"/>
                  <w:noWrap w:val="0"/>
                  <w:vAlign w:val="center"/>
                </w:tcPr>
                <w:p w14:paraId="6E49A161">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设备维护</w:t>
                  </w:r>
                </w:p>
              </w:tc>
              <w:tc>
                <w:tcPr>
                  <w:tcW w:w="645" w:type="pct"/>
                  <w:noWrap w:val="0"/>
                  <w:vAlign w:val="center"/>
                </w:tcPr>
                <w:p w14:paraId="4FA14B50">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25kg/桶</w:t>
                  </w:r>
                </w:p>
              </w:tc>
              <w:tc>
                <w:tcPr>
                  <w:tcW w:w="639" w:type="pct"/>
                  <w:noWrap w:val="0"/>
                  <w:vAlign w:val="center"/>
                </w:tcPr>
                <w:p w14:paraId="0AB3DBFA">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0.1</w:t>
                  </w:r>
                </w:p>
              </w:tc>
              <w:tc>
                <w:tcPr>
                  <w:tcW w:w="722" w:type="pct"/>
                  <w:noWrap w:val="0"/>
                  <w:vAlign w:val="center"/>
                </w:tcPr>
                <w:p w14:paraId="526C663B">
                  <w:pPr>
                    <w:widowControl/>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是，临界量为2500t</w:t>
                  </w:r>
                </w:p>
              </w:tc>
            </w:tr>
            <w:tr w14:paraId="2283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noWrap w:val="0"/>
                  <w:vAlign w:val="center"/>
                </w:tcPr>
                <w:p w14:paraId="1D21D084">
                  <w:pPr>
                    <w:ind w:right="15" w:rightChars="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6</w:t>
                  </w:r>
                </w:p>
              </w:tc>
              <w:tc>
                <w:tcPr>
                  <w:tcW w:w="745" w:type="pct"/>
                  <w:shd w:val="clear" w:color="auto" w:fill="auto"/>
                  <w:noWrap w:val="0"/>
                  <w:vAlign w:val="center"/>
                </w:tcPr>
                <w:p w14:paraId="6CC6A957">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14:textFill>
                        <w14:solidFill>
                          <w14:schemeClr w14:val="tx1"/>
                        </w14:solidFill>
                      </w14:textFill>
                    </w:rPr>
                    <w:t>模具</w:t>
                  </w:r>
                  <w:r>
                    <w:rPr>
                      <w:rFonts w:hint="default" w:ascii="Times New Roman" w:hAnsi="Times New Roman" w:cs="Times New Roman"/>
                      <w:color w:val="000000" w:themeColor="text1"/>
                      <w:sz w:val="21"/>
                      <w:szCs w:val="21"/>
                      <w:lang w:val="en-US" w:eastAsia="zh-CN"/>
                      <w14:textFill>
                        <w14:solidFill>
                          <w14:schemeClr w14:val="tx1"/>
                        </w14:solidFill>
                      </w14:textFill>
                    </w:rPr>
                    <w:t>胚</w:t>
                  </w:r>
                </w:p>
              </w:tc>
              <w:tc>
                <w:tcPr>
                  <w:tcW w:w="463" w:type="pct"/>
                  <w:shd w:val="clear" w:color="auto" w:fill="auto"/>
                  <w:noWrap w:val="0"/>
                  <w:vAlign w:val="center"/>
                </w:tcPr>
                <w:p w14:paraId="2F34C692">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固体</w:t>
                  </w:r>
                </w:p>
              </w:tc>
              <w:tc>
                <w:tcPr>
                  <w:tcW w:w="538" w:type="pct"/>
                  <w:noWrap w:val="0"/>
                  <w:vAlign w:val="center"/>
                </w:tcPr>
                <w:p w14:paraId="0557E67E">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10.05</w:t>
                  </w:r>
                </w:p>
              </w:tc>
              <w:tc>
                <w:tcPr>
                  <w:tcW w:w="797" w:type="pct"/>
                  <w:shd w:val="clear" w:color="auto" w:fill="auto"/>
                  <w:noWrap w:val="0"/>
                  <w:vAlign w:val="center"/>
                </w:tcPr>
                <w:p w14:paraId="6A03270D">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压铸、机加工</w:t>
                  </w:r>
                </w:p>
              </w:tc>
              <w:tc>
                <w:tcPr>
                  <w:tcW w:w="645" w:type="pct"/>
                  <w:shd w:val="clear" w:color="auto" w:fill="auto"/>
                  <w:noWrap w:val="0"/>
                  <w:vAlign w:val="center"/>
                </w:tcPr>
                <w:p w14:paraId="67275873">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639" w:type="pct"/>
                  <w:noWrap w:val="0"/>
                  <w:vAlign w:val="center"/>
                </w:tcPr>
                <w:p w14:paraId="5156E1DE">
                  <w:pPr>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722" w:type="pct"/>
                  <w:noWrap w:val="0"/>
                  <w:vAlign w:val="center"/>
                </w:tcPr>
                <w:p w14:paraId="3687F3B2">
                  <w:pPr>
                    <w:widowControl/>
                    <w:shd w:val="clear"/>
                    <w:spacing w:line="240" w:lineRule="auto"/>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否</w:t>
                  </w:r>
                </w:p>
              </w:tc>
            </w:tr>
            <w:tr w14:paraId="69A4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noWrap w:val="0"/>
                  <w:vAlign w:val="center"/>
                </w:tcPr>
                <w:p w14:paraId="22276032">
                  <w:pPr>
                    <w:ind w:right="15" w:rightChars="0"/>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7</w:t>
                  </w:r>
                </w:p>
              </w:tc>
              <w:tc>
                <w:tcPr>
                  <w:tcW w:w="745" w:type="pct"/>
                  <w:shd w:val="clear" w:color="auto" w:fill="auto"/>
                  <w:noWrap w:val="0"/>
                  <w:vAlign w:val="center"/>
                </w:tcPr>
                <w:p w14:paraId="3F40603F">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火花油</w:t>
                  </w:r>
                </w:p>
              </w:tc>
              <w:tc>
                <w:tcPr>
                  <w:tcW w:w="463" w:type="pct"/>
                  <w:shd w:val="clear" w:color="auto" w:fill="auto"/>
                  <w:noWrap w:val="0"/>
                  <w:vAlign w:val="center"/>
                </w:tcPr>
                <w:p w14:paraId="0F283BD9">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液态</w:t>
                  </w:r>
                </w:p>
              </w:tc>
              <w:tc>
                <w:tcPr>
                  <w:tcW w:w="538" w:type="pct"/>
                  <w:noWrap w:val="0"/>
                  <w:vAlign w:val="center"/>
                </w:tcPr>
                <w:p w14:paraId="0977ABAF">
                  <w:pPr>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0.22</w:t>
                  </w:r>
                </w:p>
              </w:tc>
              <w:tc>
                <w:tcPr>
                  <w:tcW w:w="797" w:type="pct"/>
                  <w:shd w:val="clear" w:color="auto" w:fill="auto"/>
                  <w:noWrap w:val="0"/>
                  <w:vAlign w:val="center"/>
                </w:tcPr>
                <w:p w14:paraId="4B2026C9">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机加工</w:t>
                  </w:r>
                </w:p>
              </w:tc>
              <w:tc>
                <w:tcPr>
                  <w:tcW w:w="645" w:type="pct"/>
                  <w:shd w:val="clear" w:color="auto" w:fill="auto"/>
                  <w:noWrap w:val="0"/>
                  <w:vAlign w:val="center"/>
                </w:tcPr>
                <w:p w14:paraId="593E921B">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220kg/桶</w:t>
                  </w:r>
                </w:p>
              </w:tc>
              <w:tc>
                <w:tcPr>
                  <w:tcW w:w="639" w:type="pct"/>
                  <w:noWrap w:val="0"/>
                  <w:vAlign w:val="center"/>
                </w:tcPr>
                <w:p w14:paraId="25082EDB">
                  <w:pPr>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0.22</w:t>
                  </w:r>
                </w:p>
              </w:tc>
              <w:tc>
                <w:tcPr>
                  <w:tcW w:w="722" w:type="pct"/>
                  <w:noWrap w:val="0"/>
                  <w:vAlign w:val="center"/>
                </w:tcPr>
                <w:p w14:paraId="2BE201F4">
                  <w:pPr>
                    <w:widowControl/>
                    <w:shd w:val="clear"/>
                    <w:spacing w:line="240" w:lineRule="auto"/>
                    <w:jc w:val="center"/>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是，临界量为2500t</w:t>
                  </w:r>
                </w:p>
              </w:tc>
            </w:tr>
            <w:tr w14:paraId="55C7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vAlign w:val="center"/>
                </w:tcPr>
                <w:p w14:paraId="5FD91508">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8</w:t>
                  </w:r>
                </w:p>
              </w:tc>
              <w:tc>
                <w:tcPr>
                  <w:tcW w:w="745" w:type="pct"/>
                  <w:shd w:val="clear" w:color="auto" w:fill="auto"/>
                  <w:vAlign w:val="center"/>
                </w:tcPr>
                <w:p w14:paraId="5ECB7681">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洗洁精</w:t>
                  </w:r>
                </w:p>
              </w:tc>
              <w:tc>
                <w:tcPr>
                  <w:tcW w:w="463" w:type="pct"/>
                  <w:shd w:val="clear" w:color="auto" w:fill="auto"/>
                  <w:vAlign w:val="center"/>
                </w:tcPr>
                <w:p w14:paraId="15C6DE2F">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液态</w:t>
                  </w:r>
                </w:p>
              </w:tc>
              <w:tc>
                <w:tcPr>
                  <w:tcW w:w="538" w:type="pct"/>
                  <w:vAlign w:val="center"/>
                </w:tcPr>
                <w:p w14:paraId="7067361A">
                  <w:pPr>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0.03</w:t>
                  </w:r>
                </w:p>
              </w:tc>
              <w:tc>
                <w:tcPr>
                  <w:tcW w:w="797" w:type="pct"/>
                  <w:shd w:val="clear" w:color="auto" w:fill="auto"/>
                  <w:vAlign w:val="center"/>
                </w:tcPr>
                <w:p w14:paraId="2C57FD63">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研磨</w:t>
                  </w:r>
                </w:p>
              </w:tc>
              <w:tc>
                <w:tcPr>
                  <w:tcW w:w="645" w:type="pct"/>
                  <w:shd w:val="clear" w:color="auto" w:fill="auto"/>
                  <w:vAlign w:val="center"/>
                </w:tcPr>
                <w:p w14:paraId="57D8F727">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25kg/瓶</w:t>
                  </w:r>
                </w:p>
              </w:tc>
              <w:tc>
                <w:tcPr>
                  <w:tcW w:w="639" w:type="pct"/>
                  <w:vAlign w:val="center"/>
                </w:tcPr>
                <w:p w14:paraId="50C0D0D1">
                  <w:pPr>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0.025</w:t>
                  </w:r>
                </w:p>
              </w:tc>
              <w:tc>
                <w:tcPr>
                  <w:tcW w:w="722" w:type="pct"/>
                  <w:vAlign w:val="center"/>
                </w:tcPr>
                <w:p w14:paraId="26BFE2EC">
                  <w:pPr>
                    <w:widowControl/>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否</w:t>
                  </w:r>
                </w:p>
              </w:tc>
            </w:tr>
            <w:tr w14:paraId="6790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vAlign w:val="center"/>
                </w:tcPr>
                <w:p w14:paraId="4449EC13">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9</w:t>
                  </w:r>
                </w:p>
              </w:tc>
              <w:tc>
                <w:tcPr>
                  <w:tcW w:w="745" w:type="pct"/>
                  <w:shd w:val="clear" w:color="auto" w:fill="auto"/>
                  <w:vAlign w:val="center"/>
                </w:tcPr>
                <w:p w14:paraId="45DCE241">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olor w:val="000000" w:themeColor="text1"/>
                      <w:spacing w:val="3"/>
                      <w:sz w:val="21"/>
                      <w:szCs w:val="21"/>
                      <w:highlight w:val="none"/>
                      <w:lang w:val="en-US" w:eastAsia="zh-CN"/>
                      <w14:textFill>
                        <w14:solidFill>
                          <w14:schemeClr w14:val="tx1"/>
                        </w14:solidFill>
                      </w14:textFill>
                    </w:rPr>
                    <w:t>陶瓷</w:t>
                  </w:r>
                </w:p>
              </w:tc>
              <w:tc>
                <w:tcPr>
                  <w:tcW w:w="463" w:type="pct"/>
                  <w:shd w:val="clear" w:color="auto" w:fill="auto"/>
                  <w:vAlign w:val="center"/>
                </w:tcPr>
                <w:p w14:paraId="5E7C0585">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olor w:val="000000" w:themeColor="text1"/>
                      <w:spacing w:val="-2"/>
                      <w:sz w:val="21"/>
                      <w:szCs w:val="21"/>
                      <w:highlight w:val="none"/>
                      <w:lang w:val="en-US" w:eastAsia="zh-CN"/>
                      <w14:textFill>
                        <w14:solidFill>
                          <w14:schemeClr w14:val="tx1"/>
                        </w14:solidFill>
                      </w14:textFill>
                    </w:rPr>
                    <w:t>固态</w:t>
                  </w:r>
                </w:p>
              </w:tc>
              <w:tc>
                <w:tcPr>
                  <w:tcW w:w="538" w:type="pct"/>
                  <w:vAlign w:val="center"/>
                </w:tcPr>
                <w:p w14:paraId="30C95E02">
                  <w:pPr>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w:t>
                  </w:r>
                </w:p>
              </w:tc>
              <w:tc>
                <w:tcPr>
                  <w:tcW w:w="797" w:type="pct"/>
                  <w:shd w:val="clear" w:color="auto" w:fill="auto"/>
                  <w:vAlign w:val="center"/>
                </w:tcPr>
                <w:p w14:paraId="75706E2A">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研磨</w:t>
                  </w:r>
                </w:p>
              </w:tc>
              <w:tc>
                <w:tcPr>
                  <w:tcW w:w="645" w:type="pct"/>
                  <w:shd w:val="clear" w:color="auto" w:fill="auto"/>
                  <w:vAlign w:val="center"/>
                </w:tcPr>
                <w:p w14:paraId="6E3071EC">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25kg/袋</w:t>
                  </w:r>
                </w:p>
              </w:tc>
              <w:tc>
                <w:tcPr>
                  <w:tcW w:w="639" w:type="pct"/>
                  <w:vAlign w:val="center"/>
                </w:tcPr>
                <w:p w14:paraId="07BEA3A6">
                  <w:pPr>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0.05</w:t>
                  </w:r>
                </w:p>
              </w:tc>
              <w:tc>
                <w:tcPr>
                  <w:tcW w:w="722" w:type="pct"/>
                  <w:vAlign w:val="center"/>
                </w:tcPr>
                <w:p w14:paraId="25FDFAA8">
                  <w:pPr>
                    <w:widowControl/>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否</w:t>
                  </w:r>
                </w:p>
              </w:tc>
            </w:tr>
            <w:tr w14:paraId="0755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vAlign w:val="center"/>
                </w:tcPr>
                <w:p w14:paraId="4BCBE099">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10</w:t>
                  </w:r>
                </w:p>
              </w:tc>
              <w:tc>
                <w:tcPr>
                  <w:tcW w:w="745" w:type="pct"/>
                  <w:shd w:val="clear" w:color="auto" w:fill="auto"/>
                  <w:vAlign w:val="center"/>
                </w:tcPr>
                <w:p w14:paraId="35319A02">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olor w:val="000000" w:themeColor="text1"/>
                      <w:spacing w:val="3"/>
                      <w:sz w:val="21"/>
                      <w:szCs w:val="21"/>
                      <w:highlight w:val="none"/>
                      <w:lang w:val="en-US" w:eastAsia="zh-CN"/>
                      <w14:textFill>
                        <w14:solidFill>
                          <w14:schemeClr w14:val="tx1"/>
                        </w14:solidFill>
                      </w14:textFill>
                    </w:rPr>
                    <w:t>不锈钢针</w:t>
                  </w:r>
                </w:p>
              </w:tc>
              <w:tc>
                <w:tcPr>
                  <w:tcW w:w="463" w:type="pct"/>
                  <w:shd w:val="clear" w:color="auto" w:fill="auto"/>
                  <w:vAlign w:val="center"/>
                </w:tcPr>
                <w:p w14:paraId="4340EDCB">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olor w:val="000000" w:themeColor="text1"/>
                      <w:spacing w:val="-2"/>
                      <w:sz w:val="21"/>
                      <w:szCs w:val="21"/>
                      <w:highlight w:val="none"/>
                      <w:lang w:val="en-US" w:eastAsia="zh-CN"/>
                      <w14:textFill>
                        <w14:solidFill>
                          <w14:schemeClr w14:val="tx1"/>
                        </w14:solidFill>
                      </w14:textFill>
                    </w:rPr>
                    <w:t>固态</w:t>
                  </w:r>
                </w:p>
              </w:tc>
              <w:tc>
                <w:tcPr>
                  <w:tcW w:w="538" w:type="pct"/>
                  <w:vAlign w:val="center"/>
                </w:tcPr>
                <w:p w14:paraId="00E4CAA6">
                  <w:pPr>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0.05</w:t>
                  </w:r>
                </w:p>
              </w:tc>
              <w:tc>
                <w:tcPr>
                  <w:tcW w:w="797" w:type="pct"/>
                  <w:shd w:val="clear" w:color="auto" w:fill="auto"/>
                  <w:vAlign w:val="center"/>
                </w:tcPr>
                <w:p w14:paraId="49291320">
                  <w:pPr>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研磨</w:t>
                  </w:r>
                </w:p>
              </w:tc>
              <w:tc>
                <w:tcPr>
                  <w:tcW w:w="645" w:type="pct"/>
                  <w:shd w:val="clear" w:color="auto" w:fill="auto"/>
                  <w:vAlign w:val="center"/>
                </w:tcPr>
                <w:p w14:paraId="1B203178">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25kg/袋</w:t>
                  </w:r>
                </w:p>
              </w:tc>
              <w:tc>
                <w:tcPr>
                  <w:tcW w:w="639" w:type="pct"/>
                  <w:vAlign w:val="center"/>
                </w:tcPr>
                <w:p w14:paraId="36C8EE6E">
                  <w:pPr>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0.05</w:t>
                  </w:r>
                </w:p>
              </w:tc>
              <w:tc>
                <w:tcPr>
                  <w:tcW w:w="722" w:type="pct"/>
                  <w:vAlign w:val="center"/>
                </w:tcPr>
                <w:p w14:paraId="0BA722A3">
                  <w:pPr>
                    <w:widowControl/>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否</w:t>
                  </w:r>
                </w:p>
              </w:tc>
            </w:tr>
            <w:tr w14:paraId="41A0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vAlign w:val="center"/>
                </w:tcPr>
                <w:p w14:paraId="20108197">
                  <w:pPr>
                    <w:ind w:right="15" w:rightChars="0"/>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11</w:t>
                  </w:r>
                </w:p>
              </w:tc>
              <w:tc>
                <w:tcPr>
                  <w:tcW w:w="745" w:type="pct"/>
                  <w:shd w:val="clear" w:color="auto" w:fill="auto"/>
                  <w:vAlign w:val="center"/>
                </w:tcPr>
                <w:p w14:paraId="093EE32F">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不锈钢砂</w:t>
                  </w:r>
                </w:p>
              </w:tc>
              <w:tc>
                <w:tcPr>
                  <w:tcW w:w="463" w:type="pct"/>
                  <w:shd w:val="clear" w:color="auto" w:fill="auto"/>
                  <w:vAlign w:val="center"/>
                </w:tcPr>
                <w:p w14:paraId="3CC615D9">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固态</w:t>
                  </w:r>
                </w:p>
              </w:tc>
              <w:tc>
                <w:tcPr>
                  <w:tcW w:w="538" w:type="pct"/>
                  <w:shd w:val="clear" w:color="auto" w:fill="auto"/>
                  <w:vAlign w:val="center"/>
                </w:tcPr>
                <w:p w14:paraId="0AF351FA">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0.5</w:t>
                  </w:r>
                </w:p>
              </w:tc>
              <w:tc>
                <w:tcPr>
                  <w:tcW w:w="797" w:type="pct"/>
                  <w:shd w:val="clear" w:color="auto" w:fill="auto"/>
                  <w:vAlign w:val="center"/>
                </w:tcPr>
                <w:p w14:paraId="3E9F0408">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研磨</w:t>
                  </w:r>
                </w:p>
              </w:tc>
              <w:tc>
                <w:tcPr>
                  <w:tcW w:w="645" w:type="pct"/>
                  <w:shd w:val="clear" w:color="auto" w:fill="auto"/>
                  <w:vAlign w:val="center"/>
                </w:tcPr>
                <w:p w14:paraId="30CDAC6F">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25kg/袋</w:t>
                  </w:r>
                </w:p>
              </w:tc>
              <w:tc>
                <w:tcPr>
                  <w:tcW w:w="639" w:type="pct"/>
                  <w:shd w:val="clear" w:color="auto" w:fill="auto"/>
                  <w:vAlign w:val="center"/>
                </w:tcPr>
                <w:p w14:paraId="04096B67">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0.1</w:t>
                  </w:r>
                </w:p>
              </w:tc>
              <w:tc>
                <w:tcPr>
                  <w:tcW w:w="722" w:type="pct"/>
                  <w:shd w:val="clear" w:color="auto" w:fill="auto"/>
                  <w:vAlign w:val="center"/>
                </w:tcPr>
                <w:p w14:paraId="59975D8A">
                  <w:pPr>
                    <w:widowControl/>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否</w:t>
                  </w:r>
                </w:p>
              </w:tc>
            </w:tr>
            <w:tr w14:paraId="070E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vAlign w:val="center"/>
                </w:tcPr>
                <w:p w14:paraId="053B8DC3">
                  <w:pPr>
                    <w:ind w:right="15" w:rightChars="0"/>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12</w:t>
                  </w:r>
                </w:p>
              </w:tc>
              <w:tc>
                <w:tcPr>
                  <w:tcW w:w="745" w:type="pct"/>
                  <w:shd w:val="clear" w:color="auto" w:fill="auto"/>
                  <w:vAlign w:val="center"/>
                </w:tcPr>
                <w:p w14:paraId="46D8F634">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砂带</w:t>
                  </w:r>
                </w:p>
              </w:tc>
              <w:tc>
                <w:tcPr>
                  <w:tcW w:w="463" w:type="pct"/>
                  <w:shd w:val="clear" w:color="auto" w:fill="auto"/>
                  <w:vAlign w:val="center"/>
                </w:tcPr>
                <w:p w14:paraId="52B7A0D0">
                  <w:pPr>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固体</w:t>
                  </w:r>
                </w:p>
              </w:tc>
              <w:tc>
                <w:tcPr>
                  <w:tcW w:w="538" w:type="pct"/>
                  <w:shd w:val="clear" w:color="auto" w:fill="auto"/>
                  <w:vAlign w:val="center"/>
                </w:tcPr>
                <w:p w14:paraId="5C94B8B1">
                  <w:pPr>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0.04</w:t>
                  </w:r>
                </w:p>
              </w:tc>
              <w:tc>
                <w:tcPr>
                  <w:tcW w:w="797" w:type="pct"/>
                  <w:shd w:val="clear" w:color="auto" w:fill="auto"/>
                  <w:vAlign w:val="center"/>
                </w:tcPr>
                <w:p w14:paraId="28D63EF5">
                  <w:pPr>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抛光</w:t>
                  </w:r>
                </w:p>
              </w:tc>
              <w:tc>
                <w:tcPr>
                  <w:tcW w:w="645" w:type="pct"/>
                  <w:shd w:val="clear" w:color="auto" w:fill="auto"/>
                  <w:vAlign w:val="center"/>
                </w:tcPr>
                <w:p w14:paraId="6E5EDBDE">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200g/条</w:t>
                  </w:r>
                </w:p>
              </w:tc>
              <w:tc>
                <w:tcPr>
                  <w:tcW w:w="639" w:type="pct"/>
                  <w:shd w:val="clear" w:color="auto" w:fill="auto"/>
                  <w:vAlign w:val="center"/>
                </w:tcPr>
                <w:p w14:paraId="54DE8A38">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0.01</w:t>
                  </w:r>
                </w:p>
              </w:tc>
              <w:tc>
                <w:tcPr>
                  <w:tcW w:w="722" w:type="pct"/>
                  <w:shd w:val="clear" w:color="auto" w:fill="auto"/>
                  <w:vAlign w:val="center"/>
                </w:tcPr>
                <w:p w14:paraId="154B5657">
                  <w:pPr>
                    <w:widowControl/>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否</w:t>
                  </w:r>
                </w:p>
              </w:tc>
            </w:tr>
            <w:tr w14:paraId="0A11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48" w:type="pct"/>
                  <w:shd w:val="clear" w:color="auto" w:fill="auto"/>
                  <w:vAlign w:val="center"/>
                </w:tcPr>
                <w:p w14:paraId="16ABBC98">
                  <w:pPr>
                    <w:ind w:right="15" w:rightChars="0"/>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13</w:t>
                  </w:r>
                </w:p>
              </w:tc>
              <w:tc>
                <w:tcPr>
                  <w:tcW w:w="745" w:type="pct"/>
                  <w:shd w:val="clear" w:color="auto" w:fill="auto"/>
                  <w:vAlign w:val="center"/>
                </w:tcPr>
                <w:p w14:paraId="251E499C">
                  <w:pPr>
                    <w:ind w:right="15"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液化石油气</w:t>
                  </w:r>
                </w:p>
              </w:tc>
              <w:tc>
                <w:tcPr>
                  <w:tcW w:w="463" w:type="pct"/>
                  <w:shd w:val="clear" w:color="auto" w:fill="auto"/>
                  <w:vAlign w:val="center"/>
                </w:tcPr>
                <w:p w14:paraId="77C61524">
                  <w:pPr>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液态</w:t>
                  </w:r>
                </w:p>
              </w:tc>
              <w:tc>
                <w:tcPr>
                  <w:tcW w:w="538" w:type="pct"/>
                  <w:shd w:val="clear" w:color="auto" w:fill="auto"/>
                  <w:vAlign w:val="center"/>
                </w:tcPr>
                <w:p w14:paraId="1AACBE09">
                  <w:pPr>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28.67</w:t>
                  </w:r>
                </w:p>
              </w:tc>
              <w:tc>
                <w:tcPr>
                  <w:tcW w:w="797" w:type="pct"/>
                  <w:shd w:val="clear" w:color="auto" w:fill="auto"/>
                  <w:vAlign w:val="center"/>
                </w:tcPr>
                <w:p w14:paraId="25FF519F">
                  <w:pPr>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供能燃烧</w:t>
                  </w:r>
                </w:p>
              </w:tc>
              <w:tc>
                <w:tcPr>
                  <w:tcW w:w="645" w:type="pct"/>
                  <w:shd w:val="clear" w:color="auto" w:fill="auto"/>
                  <w:vAlign w:val="center"/>
                </w:tcPr>
                <w:p w14:paraId="081ED4DD">
                  <w:pPr>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50kg/瓶</w:t>
                  </w:r>
                </w:p>
              </w:tc>
              <w:tc>
                <w:tcPr>
                  <w:tcW w:w="639" w:type="pct"/>
                  <w:shd w:val="clear" w:color="auto" w:fill="auto"/>
                  <w:vAlign w:val="center"/>
                </w:tcPr>
                <w:p w14:paraId="053F4B59">
                  <w:pPr>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0.1</w:t>
                  </w:r>
                </w:p>
              </w:tc>
              <w:tc>
                <w:tcPr>
                  <w:tcW w:w="722" w:type="pct"/>
                  <w:shd w:val="clear" w:color="auto" w:fill="auto"/>
                  <w:vAlign w:val="top"/>
                </w:tcPr>
                <w:p w14:paraId="55DB7430">
                  <w:pPr>
                    <w:widowControl/>
                    <w:shd w:val="clea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是，临界量10t</w:t>
                  </w:r>
                </w:p>
              </w:tc>
            </w:tr>
          </w:tbl>
          <w:p w14:paraId="580225B5">
            <w:pPr>
              <w:pStyle w:val="48"/>
              <w:shd w:val="clear"/>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5D6B923E">
            <w:pPr>
              <w:keepNext/>
              <w:keepLines/>
              <w:pageBreakBefore w:val="0"/>
              <w:widowControl w:val="0"/>
              <w:numPr>
                <w:ilvl w:val="0"/>
                <w:numId w:val="0"/>
              </w:numPr>
              <w:suppressLineNumbers w:val="0"/>
              <w:shd w:val="clear"/>
              <w:kinsoku/>
              <w:bidi w:val="0"/>
              <w:spacing w:before="0" w:beforeAutospacing="0" w:after="0" w:afterAutospacing="0" w:line="360" w:lineRule="auto"/>
              <w:ind w:left="420" w:leftChars="0" w:right="0" w:rightChars="0" w:hanging="420" w:firstLineChars="0"/>
              <w:jc w:val="center"/>
              <w:textAlignment w:val="baseline"/>
              <w:outlineLvl w:val="7"/>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表</w:t>
            </w:r>
            <w:r>
              <w:rPr>
                <w:rFonts w:hint="eastAsia" w:cs="Times New Roman"/>
                <w:b/>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项目主要原辅材料理化性质一览表</w:t>
            </w:r>
          </w:p>
          <w:tbl>
            <w:tblPr>
              <w:tblStyle w:val="34"/>
              <w:tblW w:w="43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6650"/>
            </w:tblGrid>
            <w:tr w14:paraId="43FF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 w:type="pct"/>
                  <w:noWrap w:val="0"/>
                  <w:vAlign w:val="center"/>
                </w:tcPr>
                <w:p w14:paraId="74A1A81C">
                  <w:pPr>
                    <w:pStyle w:val="48"/>
                    <w:shd w:val="clea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名称</w:t>
                  </w:r>
                </w:p>
              </w:tc>
              <w:tc>
                <w:tcPr>
                  <w:tcW w:w="4529" w:type="pct"/>
                  <w:noWrap w:val="0"/>
                  <w:vAlign w:val="center"/>
                </w:tcPr>
                <w:p w14:paraId="691C5299">
                  <w:pPr>
                    <w:pStyle w:val="48"/>
                    <w:shd w:val="clea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理化性质</w:t>
                  </w:r>
                </w:p>
              </w:tc>
            </w:tr>
            <w:tr w14:paraId="1A2B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470" w:type="pct"/>
                  <w:noWrap w:val="0"/>
                  <w:vAlign w:val="center"/>
                </w:tcPr>
                <w:p w14:paraId="3F6C7507">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pacing w:val="0"/>
                      <w:kern w:val="21"/>
                      <w:sz w:val="21"/>
                      <w:szCs w:val="21"/>
                      <w:highlight w:val="none"/>
                      <w:lang w:val="en-US" w:eastAsia="zh-CN"/>
                      <w14:textFill>
                        <w14:solidFill>
                          <w14:schemeClr w14:val="tx1"/>
                        </w14:solidFill>
                      </w14:textFill>
                    </w:rPr>
                    <w:t>锌锭</w:t>
                  </w:r>
                </w:p>
              </w:tc>
              <w:tc>
                <w:tcPr>
                  <w:tcW w:w="4529" w:type="pct"/>
                  <w:noWrap w:val="0"/>
                  <w:vAlign w:val="center"/>
                </w:tcPr>
                <w:p w14:paraId="19072AC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锌合金是以锌为基础加入其他元素组成的合金。主要成分有锌（99%），铝、铜、镁、钛等（1%）</w:t>
                  </w:r>
                  <w:r>
                    <w:rPr>
                      <w:rFonts w:hint="eastAsia" w:cs="Times New Roman"/>
                      <w:color w:val="000000" w:themeColor="text1"/>
                      <w:spacing w:val="0"/>
                      <w:kern w:val="2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牌号：ZX01</w:t>
                  </w:r>
                  <w:r>
                    <w:rPr>
                      <w:rFonts w:hint="eastAsia" w:ascii="Times New Roman" w:hAnsi="Times New Roman" w:cs="Times New Roman"/>
                      <w:color w:val="000000" w:themeColor="text1"/>
                      <w:spacing w:val="0"/>
                      <w:kern w:val="2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不含</w:t>
                  </w:r>
                  <w:r>
                    <w:rPr>
                      <w:rFonts w:hint="eastAsia"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一类</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重金属。密度约为6</w:t>
                  </w:r>
                  <w:r>
                    <w:rPr>
                      <w:rFonts w:hint="eastAsia"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6g/</w:t>
                  </w:r>
                  <w:r>
                    <w:rPr>
                      <w:rFonts w:hint="eastAsia"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c</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m</w:t>
                  </w:r>
                  <w:r>
                    <w:rPr>
                      <w:rFonts w:hint="default" w:ascii="Times New Roman" w:hAnsi="Times New Roman" w:eastAsia="宋体" w:cs="Times New Roman"/>
                      <w:color w:val="000000" w:themeColor="text1"/>
                      <w:spacing w:val="0"/>
                      <w:kern w:val="21"/>
                      <w:sz w:val="21"/>
                      <w:szCs w:val="21"/>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，熔点</w:t>
                  </w:r>
                  <w:r>
                    <w:rPr>
                      <w:rFonts w:hint="eastAsia"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为</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385℃</w:t>
                  </w:r>
                  <w:r>
                    <w:rPr>
                      <w:rFonts w:hint="eastAsia" w:cs="Times New Roman"/>
                      <w:color w:val="000000" w:themeColor="text1"/>
                      <w:spacing w:val="0"/>
                      <w:kern w:val="21"/>
                      <w:sz w:val="21"/>
                      <w:szCs w:val="21"/>
                      <w:highlight w:val="none"/>
                      <w:lang w:val="en-US" w:eastAsia="zh-CN" w:bidi="ar"/>
                      <w14:textFill>
                        <w14:solidFill>
                          <w14:schemeClr w14:val="tx1"/>
                        </w14:solidFill>
                      </w14:textFill>
                    </w:rPr>
                    <w:t>，沸点为907℃</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铸造性能优异，可压铸复杂形状的精密部件，铸件表面光滑，常温下机械性能良好。</w:t>
                  </w:r>
                </w:p>
              </w:tc>
            </w:tr>
            <w:tr w14:paraId="6866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70" w:type="pct"/>
                  <w:noWrap w:val="0"/>
                  <w:vAlign w:val="center"/>
                </w:tcPr>
                <w:p w14:paraId="18BE3BD7">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pacing w:val="0"/>
                      <w:kern w:val="21"/>
                      <w:sz w:val="21"/>
                      <w:szCs w:val="21"/>
                      <w:highlight w:val="none"/>
                      <w:lang w:val="en-US" w:eastAsia="zh-CN" w:bidi="ar-SA"/>
                      <w14:textFill>
                        <w14:solidFill>
                          <w14:schemeClr w14:val="tx1"/>
                        </w14:solidFill>
                      </w14:textFill>
                    </w:rPr>
                    <w:t>铝锭</w:t>
                  </w:r>
                </w:p>
              </w:tc>
              <w:tc>
                <w:tcPr>
                  <w:tcW w:w="4529" w:type="pct"/>
                  <w:noWrap w:val="0"/>
                  <w:vAlign w:val="center"/>
                </w:tcPr>
                <w:p w14:paraId="22A19A19">
                  <w:pPr>
                    <w:keepNext w:val="0"/>
                    <w:keepLines w:val="0"/>
                    <w:widowControl/>
                    <w:suppressLineNumbers w:val="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铝合金是以铝为基添加一定量其他合金化元素，主要成分为硅9%~10.5%、铁≤0.8%、铜≤0.25%、锰≤0.1%、锌≤0.2%、镁1%~2%，其余为铝，牌号为4004</w:t>
                  </w:r>
                  <w:r>
                    <w:rPr>
                      <w:rFonts w:hint="eastAsia" w:ascii="Times New Roman" w:hAnsi="Times New Roman" w:cs="Times New Roman"/>
                      <w:color w:val="000000" w:themeColor="text1"/>
                      <w:spacing w:val="0"/>
                      <w:kern w:val="21"/>
                      <w:sz w:val="21"/>
                      <w:szCs w:val="21"/>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不含一类重金属。密度为2.7g/cm³，</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熔点</w:t>
                  </w:r>
                  <w:r>
                    <w:rPr>
                      <w:rFonts w:hint="eastAsia"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为660</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w:t>
                  </w:r>
                  <w:r>
                    <w:rPr>
                      <w:rFonts w:hint="eastAsia" w:cs="Times New Roman"/>
                      <w:color w:val="000000" w:themeColor="text1"/>
                      <w:spacing w:val="0"/>
                      <w:kern w:val="21"/>
                      <w:sz w:val="21"/>
                      <w:szCs w:val="21"/>
                      <w:highlight w:val="none"/>
                      <w:lang w:val="en-US" w:eastAsia="zh-CN" w:bidi="ar"/>
                      <w14:textFill>
                        <w14:solidFill>
                          <w14:schemeClr w14:val="tx1"/>
                        </w14:solidFill>
                      </w14:textFill>
                    </w:rPr>
                    <w:t>，沸点为2460℃</w:t>
                  </w:r>
                  <w:r>
                    <w:rPr>
                      <w:rFonts w:hint="eastAsia"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有良好的铸造性能和塑性加工性能，良好的导电、导热性能，良好的耐蚀性。</w:t>
                  </w:r>
                </w:p>
              </w:tc>
            </w:tr>
            <w:tr w14:paraId="26C8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470" w:type="pct"/>
                  <w:noWrap w:val="0"/>
                  <w:vAlign w:val="center"/>
                </w:tcPr>
                <w:p w14:paraId="2E4680F8">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pacing w:val="0"/>
                      <w:kern w:val="21"/>
                      <w:sz w:val="21"/>
                      <w:szCs w:val="21"/>
                      <w:highlight w:val="none"/>
                      <w:lang w:val="en-US" w:eastAsia="zh-CN" w:bidi="ar-SA"/>
                      <w14:textFill>
                        <w14:solidFill>
                          <w14:schemeClr w14:val="tx1"/>
                        </w14:solidFill>
                      </w14:textFill>
                    </w:rPr>
                    <w:t>机</w:t>
                  </w:r>
                  <w:r>
                    <w:rPr>
                      <w:rFonts w:hint="eastAsia" w:ascii="Times New Roman" w:hAnsi="Times New Roman" w:eastAsia="宋体"/>
                      <w:color w:val="000000" w:themeColor="text1"/>
                      <w:spacing w:val="0"/>
                      <w:kern w:val="21"/>
                      <w:sz w:val="21"/>
                      <w:szCs w:val="21"/>
                      <w:highlight w:val="none"/>
                      <w:lang w:val="en-US" w:eastAsia="zh-CN" w:bidi="ar-SA"/>
                      <w14:textFill>
                        <w14:solidFill>
                          <w14:schemeClr w14:val="tx1"/>
                        </w14:solidFill>
                      </w14:textFill>
                    </w:rPr>
                    <w:t xml:space="preserve">油                                                                                                                                                                                                                                                                                                                                                                                                                                                                                                                                                                                                                                                                                                                                                                                                                                                                                                                                                                                                                                                                                                                                                                                                                                    </w:t>
                  </w:r>
                </w:p>
              </w:tc>
              <w:tc>
                <w:tcPr>
                  <w:tcW w:w="4529" w:type="pct"/>
                  <w:noWrap w:val="0"/>
                  <w:vAlign w:val="center"/>
                </w:tcPr>
                <w:p w14:paraId="086DC30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pacing w:val="0"/>
                      <w:kern w:val="21"/>
                      <w:sz w:val="21"/>
                      <w:szCs w:val="21"/>
                      <w:highlight w:val="none"/>
                      <w14:textFill>
                        <w14:solidFill>
                          <w14:schemeClr w14:val="tx1"/>
                        </w14:solidFill>
                      </w14:textFill>
                    </w:rPr>
                    <w:t>由基础油和添加剂两部分组成。基础油是</w:t>
                  </w:r>
                  <w:r>
                    <w:rPr>
                      <w:rFonts w:hint="eastAsia"/>
                      <w:color w:val="000000" w:themeColor="text1"/>
                      <w:spacing w:val="0"/>
                      <w:kern w:val="21"/>
                      <w:sz w:val="21"/>
                      <w:szCs w:val="21"/>
                      <w:highlight w:val="none"/>
                      <w:lang w:val="en-US" w:eastAsia="zh-CN"/>
                      <w14:textFill>
                        <w14:solidFill>
                          <w14:schemeClr w14:val="tx1"/>
                        </w14:solidFill>
                      </w14:textFill>
                    </w:rPr>
                    <w:t>机</w:t>
                  </w:r>
                  <w:r>
                    <w:rPr>
                      <w:rFonts w:hint="default" w:ascii="Times New Roman" w:hAnsi="Times New Roman" w:eastAsia="宋体"/>
                      <w:color w:val="000000" w:themeColor="text1"/>
                      <w:spacing w:val="0"/>
                      <w:kern w:val="21"/>
                      <w:sz w:val="21"/>
                      <w:szCs w:val="21"/>
                      <w:highlight w:val="none"/>
                      <w14:textFill>
                        <w14:solidFill>
                          <w14:schemeClr w14:val="tx1"/>
                        </w14:solidFill>
                      </w14:textFill>
                    </w:rPr>
                    <w:t>油的主要成分，决定着</w:t>
                  </w:r>
                  <w:r>
                    <w:rPr>
                      <w:rFonts w:hint="eastAsia"/>
                      <w:color w:val="000000" w:themeColor="text1"/>
                      <w:spacing w:val="0"/>
                      <w:kern w:val="21"/>
                      <w:sz w:val="21"/>
                      <w:szCs w:val="21"/>
                      <w:highlight w:val="none"/>
                      <w:lang w:val="en-US" w:eastAsia="zh-CN"/>
                      <w14:textFill>
                        <w14:solidFill>
                          <w14:schemeClr w14:val="tx1"/>
                        </w14:solidFill>
                      </w14:textFill>
                    </w:rPr>
                    <w:t>机</w:t>
                  </w:r>
                  <w:r>
                    <w:rPr>
                      <w:rFonts w:hint="default" w:ascii="Times New Roman" w:hAnsi="Times New Roman" w:eastAsia="宋体"/>
                      <w:color w:val="000000" w:themeColor="text1"/>
                      <w:spacing w:val="0"/>
                      <w:kern w:val="21"/>
                      <w:sz w:val="21"/>
                      <w:szCs w:val="21"/>
                      <w:highlight w:val="none"/>
                      <w14:textFill>
                        <w14:solidFill>
                          <w14:schemeClr w14:val="tx1"/>
                        </w14:solidFill>
                      </w14:textFill>
                    </w:rPr>
                    <w:t>油的基本性质，添加剂则可弥补和改善基础油性能方面的不足，赋予某些新的性能，是</w:t>
                  </w:r>
                  <w:r>
                    <w:rPr>
                      <w:rFonts w:hint="eastAsia"/>
                      <w:color w:val="000000" w:themeColor="text1"/>
                      <w:spacing w:val="0"/>
                      <w:kern w:val="21"/>
                      <w:sz w:val="21"/>
                      <w:szCs w:val="21"/>
                      <w:highlight w:val="none"/>
                      <w:lang w:val="en-US" w:eastAsia="zh-CN"/>
                      <w14:textFill>
                        <w14:solidFill>
                          <w14:schemeClr w14:val="tx1"/>
                        </w14:solidFill>
                      </w14:textFill>
                    </w:rPr>
                    <w:t>机</w:t>
                  </w:r>
                  <w:r>
                    <w:rPr>
                      <w:rFonts w:hint="default" w:ascii="Times New Roman" w:hAnsi="Times New Roman" w:eastAsia="宋体"/>
                      <w:color w:val="000000" w:themeColor="text1"/>
                      <w:spacing w:val="0"/>
                      <w:kern w:val="21"/>
                      <w:sz w:val="21"/>
                      <w:szCs w:val="21"/>
                      <w:highlight w:val="none"/>
                      <w14:textFill>
                        <w14:solidFill>
                          <w14:schemeClr w14:val="tx1"/>
                        </w14:solidFill>
                      </w14:textFill>
                    </w:rPr>
                    <w:t>油的重要组成部分</w:t>
                  </w:r>
                  <w:r>
                    <w:rPr>
                      <w:rFonts w:hint="eastAsia" w:ascii="Times New Roman" w:hAnsi="Times New Roman" w:eastAsia="宋体"/>
                      <w:color w:val="000000" w:themeColor="text1"/>
                      <w:spacing w:val="0"/>
                      <w:kern w:val="21"/>
                      <w:sz w:val="21"/>
                      <w:szCs w:val="21"/>
                      <w:highlight w:val="none"/>
                      <w:lang w:eastAsia="zh-CN"/>
                      <w14:textFill>
                        <w14:solidFill>
                          <w14:schemeClr w14:val="tx1"/>
                        </w14:solidFill>
                      </w14:textFill>
                    </w:rPr>
                    <w:t>。</w:t>
                  </w:r>
                  <w:r>
                    <w:rPr>
                      <w:rFonts w:hint="default" w:ascii="Times New Roman" w:hAnsi="Times New Roman" w:eastAsia="宋体"/>
                      <w:color w:val="000000" w:themeColor="text1"/>
                      <w:spacing w:val="0"/>
                      <w:kern w:val="21"/>
                      <w:sz w:val="21"/>
                      <w:szCs w:val="21"/>
                      <w:highlight w:val="none"/>
                      <w14:textFill>
                        <w14:solidFill>
                          <w14:schemeClr w14:val="tx1"/>
                        </w14:solidFill>
                      </w14:textFill>
                    </w:rPr>
                    <w:t>密度约为0.91×10³（kg/m³）</w:t>
                  </w:r>
                  <w:r>
                    <w:rPr>
                      <w:rFonts w:hint="eastAsia"/>
                      <w:color w:val="000000" w:themeColor="text1"/>
                      <w:spacing w:val="0"/>
                      <w:kern w:val="21"/>
                      <w:sz w:val="21"/>
                      <w:szCs w:val="21"/>
                      <w:highlight w:val="none"/>
                      <w:lang w:eastAsia="zh-CN"/>
                      <w14:textFill>
                        <w14:solidFill>
                          <w14:schemeClr w14:val="tx1"/>
                        </w14:solidFill>
                      </w14:textFill>
                    </w:rPr>
                    <w:t>，</w:t>
                  </w:r>
                  <w:r>
                    <w:rPr>
                      <w:rFonts w:hint="default" w:ascii="Times New Roman" w:hAnsi="Times New Roman" w:eastAsia="宋体"/>
                      <w:color w:val="000000" w:themeColor="text1"/>
                      <w:spacing w:val="0"/>
                      <w:kern w:val="21"/>
                      <w:sz w:val="21"/>
                      <w:szCs w:val="21"/>
                      <w:highlight w:val="none"/>
                      <w14:textFill>
                        <w14:solidFill>
                          <w14:schemeClr w14:val="tx1"/>
                        </w14:solidFill>
                      </w14:textFill>
                    </w:rPr>
                    <w:t>能对发动机起到润滑减磨、辅助冷却降温、密封防漏、防锈防蚀、减震缓冲等作用</w:t>
                  </w:r>
                  <w:r>
                    <w:rPr>
                      <w:rFonts w:hint="eastAsia" w:ascii="Times New Roman" w:hAnsi="Times New Roman" w:eastAsia="宋体"/>
                      <w:color w:val="000000" w:themeColor="text1"/>
                      <w:spacing w:val="0"/>
                      <w:kern w:val="21"/>
                      <w:sz w:val="21"/>
                      <w:szCs w:val="21"/>
                      <w:highlight w:val="none"/>
                      <w:lang w:eastAsia="zh-CN"/>
                      <w14:textFill>
                        <w14:solidFill>
                          <w14:schemeClr w14:val="tx1"/>
                        </w14:solidFill>
                      </w14:textFill>
                    </w:rPr>
                    <w:t>。</w:t>
                  </w:r>
                  <w:r>
                    <w:rPr>
                      <w:rFonts w:hint="eastAsia"/>
                      <w:color w:val="000000" w:themeColor="text1"/>
                      <w:spacing w:val="0"/>
                      <w:kern w:val="21"/>
                      <w:sz w:val="21"/>
                      <w:szCs w:val="21"/>
                      <w:highlight w:val="none"/>
                      <w:lang w:val="en-US" w:eastAsia="zh-CN"/>
                      <w14:textFill>
                        <w14:solidFill>
                          <w14:schemeClr w14:val="tx1"/>
                        </w14:solidFill>
                      </w14:textFill>
                    </w:rPr>
                    <w:t>属于风险导则附录B中风险物质。</w:t>
                  </w:r>
                </w:p>
              </w:tc>
            </w:tr>
            <w:tr w14:paraId="34AD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70" w:type="pct"/>
                  <w:noWrap w:val="0"/>
                  <w:vAlign w:val="center"/>
                </w:tcPr>
                <w:p w14:paraId="597C6C6E">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pacing w:val="0"/>
                      <w:kern w:val="21"/>
                      <w:sz w:val="21"/>
                      <w:szCs w:val="21"/>
                      <w:highlight w:val="none"/>
                      <w:lang w:val="en-US" w:eastAsia="zh-CN" w:bidi="ar-SA"/>
                      <w14:textFill>
                        <w14:solidFill>
                          <w14:schemeClr w14:val="tx1"/>
                        </w14:solidFill>
                      </w14:textFill>
                    </w:rPr>
                    <w:t>脱模剂</w:t>
                  </w:r>
                </w:p>
              </w:tc>
              <w:tc>
                <w:tcPr>
                  <w:tcW w:w="4529" w:type="pct"/>
                  <w:noWrap w:val="0"/>
                  <w:vAlign w:val="center"/>
                </w:tcPr>
                <w:p w14:paraId="0ED2266E">
                  <w:pPr>
                    <w:keepNext w:val="0"/>
                    <w:keepLines w:val="0"/>
                    <w:pageBreakBefore w:val="0"/>
                    <w:widowControl/>
                    <w:kinsoku w:val="0"/>
                    <w:wordWrap w:val="0"/>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乳白色带蓝光液体，有轻微气味，化学性质较稳定。</w:t>
                  </w:r>
                  <w:r>
                    <w:rPr>
                      <w:rFonts w:hint="eastAsia" w:cs="Times New Roman"/>
                      <w:color w:val="000000" w:themeColor="text1"/>
                      <w:szCs w:val="21"/>
                      <w:highlight w:val="none"/>
                      <w:lang w:val="en-US" w:eastAsia="zh-CN"/>
                      <w14:textFill>
                        <w14:solidFill>
                          <w14:schemeClr w14:val="tx1"/>
                        </w14:solidFill>
                      </w14:textFill>
                    </w:rPr>
                    <w:t>密度为0.95g/cm</w:t>
                  </w:r>
                  <w:r>
                    <w:rPr>
                      <w:rFonts w:hint="eastAsia" w:cs="Times New Roman"/>
                      <w:color w:val="000000" w:themeColor="text1"/>
                      <w:szCs w:val="21"/>
                      <w:highlight w:val="none"/>
                      <w:vertAlign w:val="superscript"/>
                      <w:lang w:val="en-US" w:eastAsia="zh-CN"/>
                      <w14:textFill>
                        <w14:solidFill>
                          <w14:schemeClr w14:val="tx1"/>
                        </w14:solidFill>
                      </w14:textFill>
                    </w:rPr>
                    <w:t>3</w:t>
                  </w:r>
                  <w:r>
                    <w:rPr>
                      <w:rFonts w:hint="eastAsia" w:cs="Times New Roman"/>
                      <w:color w:val="000000" w:themeColor="text1"/>
                      <w:szCs w:val="21"/>
                      <w:highlight w:val="none"/>
                      <w:vertAlign w:val="baseline"/>
                      <w:lang w:val="en-US" w:eastAsia="zh-CN"/>
                      <w14:textFill>
                        <w14:solidFill>
                          <w14:schemeClr w14:val="tx1"/>
                        </w14:solidFill>
                      </w14:textFill>
                    </w:rPr>
                    <w:t>，闪点是220.6℃，沸点为232℃。</w:t>
                  </w:r>
                  <w:r>
                    <w:rPr>
                      <w:rFonts w:hint="default" w:ascii="Times New Roman" w:hAnsi="Times New Roman" w:cs="Times New Roman"/>
                      <w:color w:val="000000" w:themeColor="text1"/>
                      <w:szCs w:val="21"/>
                      <w:highlight w:val="none"/>
                      <w:lang w:val="en-US" w:eastAsia="zh-CN"/>
                      <w14:textFill>
                        <w14:solidFill>
                          <w14:schemeClr w14:val="tx1"/>
                        </w14:solidFill>
                      </w14:textFill>
                    </w:rPr>
                    <w:t>脱模剂是一种介于模具和成品之间的功能性物质。脱模剂还具有耐热及应力性能，不易分解或磨损</w:t>
                  </w: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主要成分为水</w:t>
                  </w:r>
                  <w:r>
                    <w:rPr>
                      <w:rFonts w:hint="eastAsia" w:cs="Times New Roman"/>
                      <w:color w:val="000000" w:themeColor="text1"/>
                      <w:szCs w:val="21"/>
                      <w:highlight w:val="none"/>
                      <w:lang w:val="en-US" w:eastAsia="zh-CN"/>
                      <w14:textFill>
                        <w14:solidFill>
                          <w14:schemeClr w14:val="tx1"/>
                        </w14:solidFill>
                      </w14:textFill>
                    </w:rPr>
                    <w:t>70</w:t>
                  </w:r>
                  <w:r>
                    <w:rPr>
                      <w:rFonts w:hint="default" w:ascii="Times New Roman" w:hAnsi="Times New Roman" w:cs="Times New Roman"/>
                      <w:color w:val="000000" w:themeColor="text1"/>
                      <w:szCs w:val="21"/>
                      <w:highlight w:val="none"/>
                      <w14:textFill>
                        <w14:solidFill>
                          <w14:schemeClr w14:val="tx1"/>
                        </w14:solidFill>
                      </w14:textFill>
                    </w:rPr>
                    <w:t>%、</w:t>
                  </w:r>
                  <w:r>
                    <w:rPr>
                      <w:rFonts w:hint="eastAsia" w:cs="Times New Roman"/>
                      <w:color w:val="000000" w:themeColor="text1"/>
                      <w:szCs w:val="21"/>
                      <w:highlight w:val="none"/>
                      <w:lang w:val="en-US" w:eastAsia="zh-CN"/>
                      <w14:textFill>
                        <w14:solidFill>
                          <w14:schemeClr w14:val="tx1"/>
                        </w14:solidFill>
                      </w14:textFill>
                    </w:rPr>
                    <w:t>改性有机硅（改性聚二甲基硅氧烷）20%、改性高温蜡（改性聚四氟乙烯蜡）5%、表面活性剂（三乙醇胺）4.5%、杀菌剂（异噻唑啉酮类）0.5%</w:t>
                  </w:r>
                  <w:r>
                    <w:rPr>
                      <w:rFonts w:hint="default" w:ascii="Times New Roman" w:hAnsi="Times New Roman" w:cs="Times New Roman"/>
                      <w:color w:val="000000" w:themeColor="text1"/>
                      <w:szCs w:val="21"/>
                      <w:highlight w:val="none"/>
                      <w14:textFill>
                        <w14:solidFill>
                          <w14:schemeClr w14:val="tx1"/>
                        </w14:solidFill>
                      </w14:textFill>
                    </w:rPr>
                    <w:t>。</w:t>
                  </w:r>
                  <w:r>
                    <w:rPr>
                      <w:rFonts w:hint="eastAsia" w:ascii="Times New Roman" w:hAnsi="Times New Roman" w:cs="Times New Roman"/>
                      <w:color w:val="000000" w:themeColor="text1"/>
                      <w:szCs w:val="21"/>
                      <w:highlight w:val="none"/>
                      <w:lang w:val="en-US" w:eastAsia="zh-CN"/>
                      <w14:textFill>
                        <w14:solidFill>
                          <w14:schemeClr w14:val="tx1"/>
                        </w14:solidFill>
                      </w14:textFill>
                    </w:rPr>
                    <w:t>其中有机挥发分为表面活性剂、杀菌剂，按照最不利情况取有机挥发分含量最大值，即</w:t>
                  </w:r>
                  <w:r>
                    <w:rPr>
                      <w:rFonts w:hint="eastAsia" w:cs="Times New Roman"/>
                      <w:color w:val="000000" w:themeColor="text1"/>
                      <w:szCs w:val="21"/>
                      <w:highlight w:val="none"/>
                      <w:lang w:val="en-US" w:eastAsia="zh-CN"/>
                      <w14:textFill>
                        <w14:solidFill>
                          <w14:schemeClr w14:val="tx1"/>
                        </w14:solidFill>
                      </w14:textFill>
                    </w:rPr>
                    <w:t>5</w:t>
                  </w:r>
                  <w:r>
                    <w:rPr>
                      <w:rFonts w:hint="eastAsia" w:ascii="Times New Roman" w:hAnsi="Times New Roman" w:cs="Times New Roman"/>
                      <w:color w:val="000000" w:themeColor="text1"/>
                      <w:szCs w:val="21"/>
                      <w:highlight w:val="none"/>
                      <w:lang w:val="en-US" w:eastAsia="zh-CN"/>
                      <w14:textFill>
                        <w14:solidFill>
                          <w14:schemeClr w14:val="tx1"/>
                        </w14:solidFill>
                      </w14:textFill>
                    </w:rPr>
                    <w:t>%计</w:t>
                  </w:r>
                </w:p>
              </w:tc>
            </w:tr>
            <w:tr w14:paraId="001C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0" w:type="pct"/>
                  <w:noWrap w:val="0"/>
                  <w:vAlign w:val="center"/>
                </w:tcPr>
                <w:p w14:paraId="61453BEC">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pacing w:val="0"/>
                      <w:kern w:val="21"/>
                      <w:sz w:val="21"/>
                      <w:szCs w:val="21"/>
                      <w:highlight w:val="none"/>
                      <w:lang w:val="en-US" w:eastAsia="zh-CN"/>
                      <w14:textFill>
                        <w14:solidFill>
                          <w14:schemeClr w14:val="tx1"/>
                        </w14:solidFill>
                      </w14:textFill>
                    </w:rPr>
                    <w:t>切削液</w:t>
                  </w:r>
                </w:p>
              </w:tc>
              <w:tc>
                <w:tcPr>
                  <w:tcW w:w="4529" w:type="pct"/>
                  <w:noWrap w:val="0"/>
                  <w:vAlign w:val="center"/>
                </w:tcPr>
                <w:p w14:paraId="174B991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主要成分为基础油和添加剂，淡褐色至深褐色透明油体</w:t>
                  </w:r>
                  <w:r>
                    <w:rPr>
                      <w:rFonts w:hint="eastAsia" w:cs="Times New Roman"/>
                      <w:color w:val="000000" w:themeColor="text1"/>
                      <w:spacing w:val="0"/>
                      <w:kern w:val="2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稀释</w:t>
                  </w:r>
                  <w:r>
                    <w:rPr>
                      <w:rFonts w:hint="eastAsia" w:cs="Times New Roman"/>
                      <w:color w:val="000000" w:themeColor="text1"/>
                      <w:spacing w:val="0"/>
                      <w:kern w:val="21"/>
                      <w:sz w:val="21"/>
                      <w:szCs w:val="21"/>
                      <w:highlight w:val="none"/>
                      <w:lang w:val="en-US" w:eastAsia="zh-CN" w:bidi="ar"/>
                      <w14:textFill>
                        <w14:solidFill>
                          <w14:schemeClr w14:val="tx1"/>
                        </w14:solidFill>
                      </w14:textFill>
                    </w:rPr>
                    <w:t>后为</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乳白色</w:t>
                  </w:r>
                  <w:r>
                    <w:rPr>
                      <w:rFonts w:hint="eastAsia" w:cs="Times New Roman"/>
                      <w:color w:val="000000" w:themeColor="text1"/>
                      <w:spacing w:val="0"/>
                      <w:kern w:val="21"/>
                      <w:sz w:val="21"/>
                      <w:szCs w:val="21"/>
                      <w:highlight w:val="none"/>
                      <w:lang w:val="en-US" w:eastAsia="zh-CN" w:bidi="ar"/>
                      <w14:textFill>
                        <w14:solidFill>
                          <w14:schemeClr w14:val="tx1"/>
                        </w14:solidFill>
                      </w14:textFill>
                    </w:rPr>
                    <w:t>液体</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，相对密度为</w:t>
                  </w:r>
                  <w:r>
                    <w:rPr>
                      <w:rFonts w:hint="eastAsia" w:cs="Times New Roman"/>
                      <w:color w:val="000000" w:themeColor="text1"/>
                      <w:spacing w:val="0"/>
                      <w:kern w:val="21"/>
                      <w:sz w:val="21"/>
                      <w:szCs w:val="21"/>
                      <w:highlight w:val="none"/>
                      <w:lang w:val="en-US" w:eastAsia="zh-CN" w:bidi="ar"/>
                      <w14:textFill>
                        <w14:solidFill>
                          <w14:schemeClr w14:val="tx1"/>
                        </w14:solidFill>
                      </w14:textFill>
                    </w:rPr>
                    <w:t>0.93g/cm</w:t>
                  </w:r>
                  <w:r>
                    <w:rPr>
                      <w:rFonts w:hint="eastAsia" w:cs="Times New Roman"/>
                      <w:color w:val="000000" w:themeColor="text1"/>
                      <w:spacing w:val="0"/>
                      <w:kern w:val="21"/>
                      <w:sz w:val="21"/>
                      <w:szCs w:val="21"/>
                      <w:highlight w:val="none"/>
                      <w:vertAlign w:val="superscript"/>
                      <w:lang w:val="en-US" w:eastAsia="zh-CN" w:bidi="ar"/>
                      <w14:textFill>
                        <w14:solidFill>
                          <w14:schemeClr w14:val="tx1"/>
                        </w14:solidFill>
                      </w14:textFill>
                    </w:rPr>
                    <w:t>3，</w:t>
                  </w:r>
                  <w:r>
                    <w:rPr>
                      <w:rFonts w:hint="eastAsia"/>
                      <w:color w:val="000000" w:themeColor="text1"/>
                      <w:spacing w:val="0"/>
                      <w:kern w:val="21"/>
                      <w:sz w:val="21"/>
                      <w:highlight w:val="none"/>
                      <w:lang w:val="en-US" w:eastAsia="zh-CN"/>
                      <w14:textFill>
                        <w14:solidFill>
                          <w14:schemeClr w14:val="tx1"/>
                        </w14:solidFill>
                      </w14:textFill>
                    </w:rPr>
                    <w:t>沸点为100℃</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。是一种</w:t>
                  </w:r>
                  <w:r>
                    <w:rPr>
                      <w:rFonts w:hint="eastAsia" w:cs="Times New Roman"/>
                      <w:color w:val="000000" w:themeColor="text1"/>
                      <w:spacing w:val="0"/>
                      <w:kern w:val="21"/>
                      <w:sz w:val="21"/>
                      <w:szCs w:val="21"/>
                      <w:highlight w:val="none"/>
                      <w:lang w:val="en-US" w:eastAsia="zh-CN" w:bidi="ar"/>
                      <w14:textFill>
                        <w14:solidFill>
                          <w14:schemeClr w14:val="tx1"/>
                        </w14:solidFill>
                      </w14:textFill>
                    </w:rPr>
                    <w:t>用</w:t>
                  </w:r>
                  <w:r>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t>在金属切削、磨加工过程中，用来冷却和润滑刀具和加工件的工业用液体，具有良好的冷却、清洗、防锈等特点，并且具备无毒、无味、对人体无侵蚀、对设备不腐蚀等特点。</w:t>
                  </w:r>
                  <w:r>
                    <w:rPr>
                      <w:rFonts w:hint="eastAsia"/>
                      <w:color w:val="000000" w:themeColor="text1"/>
                      <w:spacing w:val="0"/>
                      <w:kern w:val="21"/>
                      <w:sz w:val="21"/>
                      <w:szCs w:val="21"/>
                      <w:highlight w:val="none"/>
                      <w:lang w:val="en-US" w:eastAsia="zh-CN"/>
                      <w14:textFill>
                        <w14:solidFill>
                          <w14:schemeClr w14:val="tx1"/>
                        </w14:solidFill>
                      </w14:textFill>
                    </w:rPr>
                    <w:t>属于风险导则附录B中风险物质。</w:t>
                  </w:r>
                </w:p>
              </w:tc>
            </w:tr>
            <w:tr w14:paraId="2EE2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470" w:type="pct"/>
                  <w:noWrap w:val="0"/>
                  <w:vAlign w:val="center"/>
                </w:tcPr>
                <w:p w14:paraId="6BAEF3A0">
                  <w:pPr>
                    <w:spacing w:line="240" w:lineRule="auto"/>
                    <w:jc w:val="center"/>
                    <w:rPr>
                      <w:rFonts w:hint="eastAsia"/>
                      <w:color w:val="000000" w:themeColor="text1"/>
                      <w:spacing w:val="0"/>
                      <w:kern w:val="2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21"/>
                      <w:sz w:val="21"/>
                      <w:szCs w:val="21"/>
                      <w:highlight w:val="none"/>
                      <w:lang w:val="en-US" w:eastAsia="zh-CN"/>
                      <w14:textFill>
                        <w14:solidFill>
                          <w14:schemeClr w14:val="tx1"/>
                        </w14:solidFill>
                      </w14:textFill>
                    </w:rPr>
                    <w:t>火花油</w:t>
                  </w:r>
                </w:p>
              </w:tc>
              <w:tc>
                <w:tcPr>
                  <w:tcW w:w="4529" w:type="pct"/>
                  <w:noWrap w:val="0"/>
                  <w:vAlign w:val="center"/>
                </w:tcPr>
                <w:p w14:paraId="0905C64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000000" w:themeColor="text1"/>
                      <w:spacing w:val="0"/>
                      <w:kern w:val="21"/>
                      <w:sz w:val="21"/>
                      <w:szCs w:val="21"/>
                      <w:highlight w:val="none"/>
                      <w:lang w:val="en-US" w:eastAsia="zh-CN" w:bidi="ar"/>
                      <w14:textFill>
                        <w14:solidFill>
                          <w14:schemeClr w14:val="tx1"/>
                        </w14:solidFill>
                      </w14:textFill>
                    </w:rPr>
                  </w:pP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又称电火花油、火花机油、放电加工油、火花机电蚀油、电火花机油。为无色透明液体，是从煤油组分加氢后的产物，属于二次加氢产品，一般通过高压加氢及异构脱蜡技术精炼而成。火花油是一种电火花机加工不可缺少的放电介质液体，</w:t>
                  </w:r>
                  <w:r>
                    <w:rPr>
                      <w:rFonts w:hint="eastAsia"/>
                      <w:color w:val="000000" w:themeColor="text1"/>
                      <w:spacing w:val="0"/>
                      <w:kern w:val="21"/>
                      <w:sz w:val="21"/>
                      <w:highlight w:val="none"/>
                      <w:lang w:val="en-US" w:eastAsia="zh-CN"/>
                      <w14:textFill>
                        <w14:solidFill>
                          <w14:schemeClr w14:val="tx1"/>
                        </w14:solidFill>
                      </w14:textFill>
                    </w:rPr>
                    <w:t>闪点为100℃，密度为0.78g/cm</w:t>
                  </w:r>
                  <w:r>
                    <w:rPr>
                      <w:rFonts w:hint="eastAsia"/>
                      <w:color w:val="000000" w:themeColor="text1"/>
                      <w:spacing w:val="0"/>
                      <w:kern w:val="21"/>
                      <w:sz w:val="21"/>
                      <w:highlight w:val="none"/>
                      <w:vertAlign w:val="superscript"/>
                      <w:lang w:val="en-US" w:eastAsia="zh-CN"/>
                      <w14:textFill>
                        <w14:solidFill>
                          <w14:schemeClr w14:val="tx1"/>
                        </w14:solidFill>
                      </w14:textFill>
                    </w:rPr>
                    <w:t>3</w:t>
                  </w:r>
                  <w:r>
                    <w:rPr>
                      <w:rFonts w:hint="eastAsia"/>
                      <w:color w:val="000000" w:themeColor="text1"/>
                      <w:spacing w:val="0"/>
                      <w:kern w:val="21"/>
                      <w:sz w:val="21"/>
                      <w:highlight w:val="none"/>
                      <w:lang w:val="en-US" w:eastAsia="zh-CN"/>
                      <w14:textFill>
                        <w14:solidFill>
                          <w14:schemeClr w14:val="tx1"/>
                        </w14:solidFill>
                      </w14:textFill>
                    </w:rPr>
                    <w:t>，</w:t>
                  </w: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能够绝缘消电离、冷却电火花机加工时的高温、排除碳渣。</w:t>
                  </w:r>
                </w:p>
              </w:tc>
            </w:tr>
            <w:tr w14:paraId="4913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470" w:type="pct"/>
                  <w:noWrap w:val="0"/>
                  <w:vAlign w:val="center"/>
                </w:tcPr>
                <w:p w14:paraId="35172C4D">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pacing w:val="3"/>
                      <w:sz w:val="21"/>
                      <w:szCs w:val="21"/>
                      <w:highlight w:val="none"/>
                      <w:lang w:val="en-US" w:eastAsia="zh-CN"/>
                      <w14:textFill>
                        <w14:solidFill>
                          <w14:schemeClr w14:val="tx1"/>
                        </w14:solidFill>
                      </w14:textFill>
                    </w:rPr>
                    <w:t>砂带</w:t>
                  </w:r>
                </w:p>
              </w:tc>
              <w:tc>
                <w:tcPr>
                  <w:tcW w:w="4529" w:type="pct"/>
                  <w:noWrap w:val="0"/>
                  <w:vAlign w:val="center"/>
                </w:tcPr>
                <w:p w14:paraId="1A3F110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pP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为棕刚玉磨料</w:t>
                  </w:r>
                  <w:r>
                    <w:rPr>
                      <w:rFonts w:hint="eastAsia" w:ascii="Times New Roman" w:hAnsi="Times New Roman"/>
                      <w:color w:val="000000" w:themeColor="text1"/>
                      <w:spacing w:val="0"/>
                      <w:kern w:val="21"/>
                      <w:sz w:val="21"/>
                      <w:highlight w:val="none"/>
                      <w:lang w:val="en-US" w:eastAsia="zh-CN"/>
                      <w14:textFill>
                        <w14:solidFill>
                          <w14:schemeClr w14:val="tx1"/>
                        </w14:solidFill>
                      </w14:textFill>
                    </w:rPr>
                    <w:t>，</w:t>
                  </w: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色泽为棕色，就其色泽而言，命名为棕刚玉。这种磨料具有一定的硬度和韧性，具有较强的磨削能力，能承受很大的压力。具有耐高温、抗氧化、抗腐蚀及化学稳定性好等特点。由于抗张强度高，它适用于磨削抗张强度大的材料，适用于普通钢、高碳钢、合金钢，可用于硬质木材的加工，是使用中较广泛的一种磨料</w:t>
                  </w:r>
                  <w:r>
                    <w:rPr>
                      <w:rFonts w:hint="eastAsia" w:ascii="Times New Roman" w:hAnsi="Times New Roman"/>
                      <w:color w:val="000000" w:themeColor="text1"/>
                      <w:spacing w:val="0"/>
                      <w:kern w:val="21"/>
                      <w:sz w:val="21"/>
                      <w:highlight w:val="none"/>
                      <w:lang w:val="en-US" w:eastAsia="zh-CN"/>
                      <w14:textFill>
                        <w14:solidFill>
                          <w14:schemeClr w14:val="tx1"/>
                        </w14:solidFill>
                      </w14:textFill>
                    </w:rPr>
                    <w:t>。</w:t>
                  </w:r>
                </w:p>
              </w:tc>
            </w:tr>
            <w:tr w14:paraId="1D0B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470" w:type="pct"/>
                  <w:noWrap w:val="0"/>
                  <w:vAlign w:val="center"/>
                </w:tcPr>
                <w:p w14:paraId="52ED5139">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000000" w:themeColor="text1"/>
                      <w:spacing w:val="0"/>
                      <w:kern w:val="21"/>
                      <w:sz w:val="21"/>
                      <w:szCs w:val="21"/>
                      <w:highlight w:val="none"/>
                      <w:lang w:val="en-US" w:eastAsia="zh-CN"/>
                      <w14:textFill>
                        <w14:solidFill>
                          <w14:schemeClr w14:val="tx1"/>
                        </w14:solidFill>
                      </w14:textFill>
                    </w:rPr>
                  </w:pPr>
                  <w:r>
                    <w:rPr>
                      <w:rFonts w:hint="eastAsia" w:ascii="Times New Roman" w:hAnsi="Times New Roman"/>
                      <w:color w:val="000000" w:themeColor="text1"/>
                      <w:spacing w:val="3"/>
                      <w:sz w:val="21"/>
                      <w:szCs w:val="21"/>
                      <w:highlight w:val="none"/>
                      <w:lang w:val="en-US" w:eastAsia="zh-CN"/>
                      <w14:textFill>
                        <w14:solidFill>
                          <w14:schemeClr w14:val="tx1"/>
                        </w14:solidFill>
                      </w14:textFill>
                    </w:rPr>
                    <w:t>陶瓷</w:t>
                  </w:r>
                </w:p>
              </w:tc>
              <w:tc>
                <w:tcPr>
                  <w:tcW w:w="4529" w:type="pct"/>
                  <w:noWrap w:val="0"/>
                  <w:vAlign w:val="center"/>
                </w:tcPr>
                <w:p w14:paraId="41416D0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pPr>
                  <w:r>
                    <w:rPr>
                      <w:rFonts w:hint="eastAsia"/>
                      <w:color w:val="000000" w:themeColor="text1"/>
                      <w:spacing w:val="0"/>
                      <w:kern w:val="21"/>
                      <w:sz w:val="21"/>
                      <w:highlight w:val="none"/>
                      <w:lang w:val="en-US" w:eastAsia="zh-CN"/>
                      <w14:textFill>
                        <w14:solidFill>
                          <w14:schemeClr w14:val="tx1"/>
                        </w14:solidFill>
                      </w14:textFill>
                    </w:rPr>
                    <w:t>颗粒状</w:t>
                  </w: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，主要成分为氧化铝、氧化锆、复合氧化物，</w:t>
                  </w:r>
                  <w:r>
                    <w:rPr>
                      <w:rFonts w:hint="eastAsia"/>
                      <w:color w:val="000000" w:themeColor="text1"/>
                      <w:spacing w:val="0"/>
                      <w:kern w:val="21"/>
                      <w:sz w:val="21"/>
                      <w:highlight w:val="none"/>
                      <w:lang w:val="en-US" w:eastAsia="zh-CN"/>
                      <w14:textFill>
                        <w14:solidFill>
                          <w14:schemeClr w14:val="tx1"/>
                        </w14:solidFill>
                      </w14:textFill>
                    </w:rPr>
                    <w:t>具有较高的</w:t>
                  </w: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硬度，</w:t>
                  </w:r>
                  <w:r>
                    <w:rPr>
                      <w:rFonts w:ascii="Arial" w:hAnsi="Arial" w:eastAsia="宋体" w:cs="Arial"/>
                      <w:i w:val="0"/>
                      <w:iCs w:val="0"/>
                      <w:caps w:val="0"/>
                      <w:color w:val="000000" w:themeColor="text1"/>
                      <w:spacing w:val="0"/>
                      <w:sz w:val="21"/>
                      <w:szCs w:val="21"/>
                      <w:shd w:val="clear" w:fill="FFFFFF"/>
                      <w14:textFill>
                        <w14:solidFill>
                          <w14:schemeClr w14:val="tx1"/>
                        </w14:solidFill>
                      </w14:textFill>
                    </w:rPr>
                    <w:t>能够有效地破碎和细化物料，提高研磨效率</w:t>
                  </w: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；具有良好的耐磨性，能够在长时间使用后保持其形状和性能；密度较低，质量轻便于操作，能够在一定的温度范围内保持稳定，不易腐蚀、变形或软化。</w:t>
                  </w:r>
                </w:p>
              </w:tc>
            </w:tr>
            <w:tr w14:paraId="4B4F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470" w:type="pct"/>
                  <w:noWrap w:val="0"/>
                  <w:vAlign w:val="center"/>
                </w:tcPr>
                <w:p w14:paraId="4CAD2F04">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color w:val="000000" w:themeColor="text1"/>
                      <w:spacing w:val="3"/>
                      <w:sz w:val="21"/>
                      <w:szCs w:val="21"/>
                      <w:highlight w:val="none"/>
                      <w:lang w:val="en-US" w:eastAsia="zh-CN"/>
                      <w14:textFill>
                        <w14:solidFill>
                          <w14:schemeClr w14:val="tx1"/>
                        </w14:solidFill>
                      </w14:textFill>
                    </w:rPr>
                    <w:t>不锈钢砂</w:t>
                  </w:r>
                </w:p>
              </w:tc>
              <w:tc>
                <w:tcPr>
                  <w:tcW w:w="4529" w:type="pct"/>
                  <w:noWrap w:val="0"/>
                  <w:vAlign w:val="center"/>
                </w:tcPr>
                <w:p w14:paraId="3F885B7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pP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颗粒状，主要成分为不锈钢，是一种优质的耐磨材料，钢丸的硬度适中、韧性强，有很好的抗冲击能力，使用寿命长。在清理工件时具有很好的反弹性、清理速度快、耗量低。钢丸的使用范围广泛，像铸件、锻件以及机加工后的零件表面处理和零件热处理后的表面处理等多个领域。</w:t>
                  </w:r>
                </w:p>
              </w:tc>
            </w:tr>
            <w:tr w14:paraId="6725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0" w:type="pct"/>
                  <w:noWrap w:val="0"/>
                  <w:vAlign w:val="center"/>
                </w:tcPr>
                <w:p w14:paraId="709C9942">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000000" w:themeColor="text1"/>
                      <w:spacing w:val="0"/>
                      <w:kern w:val="21"/>
                      <w:sz w:val="21"/>
                      <w:szCs w:val="21"/>
                      <w:highlight w:val="none"/>
                      <w:lang w:val="en-US" w:eastAsia="zh-CN"/>
                      <w14:textFill>
                        <w14:solidFill>
                          <w14:schemeClr w14:val="tx1"/>
                        </w14:solidFill>
                      </w14:textFill>
                    </w:rPr>
                  </w:pPr>
                  <w:r>
                    <w:rPr>
                      <w:rFonts w:hint="eastAsia" w:ascii="Times New Roman" w:hAnsi="Times New Roman"/>
                      <w:color w:val="000000" w:themeColor="text1"/>
                      <w:spacing w:val="3"/>
                      <w:sz w:val="21"/>
                      <w:szCs w:val="21"/>
                      <w:highlight w:val="none"/>
                      <w:lang w:val="en-US" w:eastAsia="zh-CN"/>
                      <w14:textFill>
                        <w14:solidFill>
                          <w14:schemeClr w14:val="tx1"/>
                        </w14:solidFill>
                      </w14:textFill>
                    </w:rPr>
                    <w:t>不锈钢针</w:t>
                  </w:r>
                </w:p>
              </w:tc>
              <w:tc>
                <w:tcPr>
                  <w:tcW w:w="4529" w:type="pct"/>
                  <w:noWrap w:val="0"/>
                  <w:vAlign w:val="center"/>
                </w:tcPr>
                <w:p w14:paraId="408C75D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pP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微小针状物体，不锈钢材料，具有磁力强、损耗少、不发黑、光亮度好等优点</w:t>
                  </w:r>
                  <w:r>
                    <w:rPr>
                      <w:rFonts w:hint="eastAsia"/>
                      <w:color w:val="000000" w:themeColor="text1"/>
                      <w:spacing w:val="0"/>
                      <w:kern w:val="21"/>
                      <w:sz w:val="21"/>
                      <w:highlight w:val="none"/>
                      <w:lang w:val="en-US" w:eastAsia="zh-CN"/>
                      <w14:textFill>
                        <w14:solidFill>
                          <w14:schemeClr w14:val="tx1"/>
                        </w14:solidFill>
                      </w14:textFill>
                    </w:rPr>
                    <w:t>。</w:t>
                  </w: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在研磨过程中，最关键的性质是它的机械性能：它具有很高的抗拉强度和弹性模量，这使得针体在受到磨料冲击时不易发生塑性变形或断裂。</w:t>
                  </w:r>
                </w:p>
              </w:tc>
            </w:tr>
            <w:tr w14:paraId="0D6A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0" w:type="pct"/>
                  <w:noWrap w:val="0"/>
                  <w:vAlign w:val="center"/>
                </w:tcPr>
                <w:p w14:paraId="12F7347B">
                  <w:pPr>
                    <w:spacing w:line="240" w:lineRule="auto"/>
                    <w:jc w:val="both"/>
                    <w:rPr>
                      <w:rFonts w:hint="default" w:ascii="Times New Roman" w:hAnsi="Times New Roman" w:eastAsia="宋体" w:cs="Times New Roman"/>
                      <w:color w:val="000000" w:themeColor="text1"/>
                      <w:spacing w:val="0"/>
                      <w:kern w:val="21"/>
                      <w:sz w:val="21"/>
                      <w:szCs w:val="21"/>
                      <w:highlight w:val="none"/>
                      <w:lang w:val="en-US" w:eastAsia="zh-CN"/>
                      <w14:textFill>
                        <w14:solidFill>
                          <w14:schemeClr w14:val="tx1"/>
                        </w14:solidFill>
                      </w14:textFill>
                    </w:rPr>
                  </w:pPr>
                  <w:r>
                    <w:rPr>
                      <w:rFonts w:hint="eastAsia" w:cs="Times New Roman"/>
                      <w:color w:val="000000" w:themeColor="text1"/>
                      <w:spacing w:val="0"/>
                      <w:kern w:val="21"/>
                      <w:sz w:val="21"/>
                      <w:szCs w:val="21"/>
                      <w:highlight w:val="none"/>
                      <w:lang w:val="en-US" w:eastAsia="zh-CN"/>
                      <w14:textFill>
                        <w14:solidFill>
                          <w14:schemeClr w14:val="tx1"/>
                        </w14:solidFill>
                      </w14:textFill>
                    </w:rPr>
                    <w:t>洗洁精</w:t>
                  </w:r>
                </w:p>
              </w:tc>
              <w:tc>
                <w:tcPr>
                  <w:tcW w:w="4529" w:type="pct"/>
                  <w:noWrap w:val="0"/>
                  <w:vAlign w:val="center"/>
                </w:tcPr>
                <w:p w14:paraId="3FF3FF8B">
                  <w:pPr>
                    <w:widowControl/>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pPr>
                  <w:r>
                    <w:rPr>
                      <w:rFonts w:hint="eastAsia" w:ascii="Times New Roman" w:hAnsi="Times New Roman"/>
                      <w:color w:val="000000" w:themeColor="text1"/>
                      <w:kern w:val="0"/>
                      <w:highlight w:val="none"/>
                      <w14:textFill>
                        <w14:solidFill>
                          <w14:schemeClr w14:val="tx1"/>
                        </w14:solidFill>
                      </w14:textFill>
                    </w:rPr>
                    <w:t>浅褐色透明</w:t>
                  </w:r>
                  <w:r>
                    <w:rPr>
                      <w:rFonts w:ascii="Times New Roman" w:hAnsi="Times New Roman"/>
                      <w:color w:val="000000" w:themeColor="text1"/>
                      <w:kern w:val="0"/>
                      <w:highlight w:val="none"/>
                      <w14:textFill>
                        <w14:solidFill>
                          <w14:schemeClr w14:val="tx1"/>
                        </w14:solidFill>
                      </w14:textFill>
                    </w:rPr>
                    <w:t>液体，</w:t>
                  </w:r>
                  <w:r>
                    <w:rPr>
                      <w:rFonts w:hint="eastAsia"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主要成分为</w:t>
                  </w:r>
                  <w:r>
                    <w:rPr>
                      <w:rFonts w:hint="eastAsia" w:ascii="Times New Roman" w:hAnsi="Times New Roman"/>
                      <w:color w:val="000000" w:themeColor="text1"/>
                      <w:kern w:val="0"/>
                      <w:highlight w:val="none"/>
                      <w:lang w:val="en-US" w:eastAsia="zh-CN"/>
                      <w14:textFill>
                        <w14:solidFill>
                          <w14:schemeClr w14:val="tx1"/>
                        </w14:solidFill>
                      </w14:textFill>
                    </w:rPr>
                    <w:t>聚醚磺酸钠、十二烷基苯磺酸、表面活性剂、</w:t>
                  </w:r>
                  <w:r>
                    <w:rPr>
                      <w:rFonts w:hint="eastAsia"/>
                      <w:color w:val="000000" w:themeColor="text1"/>
                      <w:kern w:val="0"/>
                      <w:highlight w:val="none"/>
                      <w:lang w:val="en-US" w:eastAsia="zh-CN"/>
                      <w14:textFill>
                        <w14:solidFill>
                          <w14:schemeClr w14:val="tx1"/>
                        </w14:solidFill>
                      </w14:textFill>
                    </w:rPr>
                    <w:t>氢氧化钠</w:t>
                  </w:r>
                  <w:r>
                    <w:rPr>
                      <w:rFonts w:hint="eastAsia" w:ascii="Times New Roman" w:hAnsi="Times New Roman"/>
                      <w:color w:val="000000" w:themeColor="text1"/>
                      <w:kern w:val="0"/>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柠檬酸钠、</w:t>
                  </w:r>
                  <w:r>
                    <w:rPr>
                      <w:rFonts w:hint="eastAsia" w:ascii="Times New Roman" w:hAnsi="Times New Roman"/>
                      <w:color w:val="000000" w:themeColor="text1"/>
                      <w:kern w:val="0"/>
                      <w:highlight w:val="none"/>
                      <w:lang w:val="en-US" w:eastAsia="zh-CN"/>
                      <w14:textFill>
                        <w14:solidFill>
                          <w14:schemeClr w14:val="tx1"/>
                        </w14:solidFill>
                      </w14:textFill>
                    </w:rPr>
                    <w:t>茶叶提取物、维生素E</w:t>
                  </w:r>
                  <w:r>
                    <w:rPr>
                      <w:rFonts w:hint="eastAsia" w:ascii="Times New Roman" w:hAnsi="Times New Roman"/>
                      <w:color w:val="000000" w:themeColor="text1"/>
                      <w:kern w:val="0"/>
                      <w:highlight w:val="none"/>
                      <w:lang w:eastAsia="zh-CN"/>
                      <w14:textFill>
                        <w14:solidFill>
                          <w14:schemeClr w14:val="tx1"/>
                        </w14:solidFill>
                      </w14:textFill>
                    </w:rPr>
                    <w:t>，</w:t>
                  </w:r>
                  <w:r>
                    <w:rPr>
                      <w:rFonts w:hint="eastAsia" w:ascii="Times New Roman" w:hAnsi="Times New Roman"/>
                      <w:color w:val="000000" w:themeColor="text1"/>
                      <w:kern w:val="0"/>
                      <w:highlight w:val="none"/>
                      <w:lang w:val="en-US" w:eastAsia="zh-CN"/>
                      <w14:textFill>
                        <w14:solidFill>
                          <w14:schemeClr w14:val="tx1"/>
                        </w14:solidFill>
                      </w14:textFill>
                    </w:rPr>
                    <w:t>密度为1.</w:t>
                  </w:r>
                  <w:r>
                    <w:rPr>
                      <w:rFonts w:hint="eastAsia"/>
                      <w:color w:val="000000" w:themeColor="text1"/>
                      <w:kern w:val="0"/>
                      <w:highlight w:val="none"/>
                      <w:lang w:val="en-US" w:eastAsia="zh-CN"/>
                      <w14:textFill>
                        <w14:solidFill>
                          <w14:schemeClr w14:val="tx1"/>
                        </w14:solidFill>
                      </w14:textFill>
                    </w:rPr>
                    <w:t>2</w:t>
                  </w: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g/cm³，</w:t>
                  </w:r>
                  <w:r>
                    <w:rPr>
                      <w:rFonts w:hint="eastAsia"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适用于多种金属表面研磨液残留清洗，兼顾去污和防锈功能。</w:t>
                  </w:r>
                </w:p>
              </w:tc>
            </w:tr>
            <w:tr w14:paraId="0FFD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470" w:type="pct"/>
                  <w:noWrap w:val="0"/>
                  <w:vAlign w:val="center"/>
                </w:tcPr>
                <w:p w14:paraId="0338F4A4">
                  <w:pPr>
                    <w:spacing w:line="240" w:lineRule="auto"/>
                    <w:jc w:val="center"/>
                    <w:rPr>
                      <w:rFonts w:hint="default" w:ascii="Times New Roman" w:hAnsi="Times New Roman" w:eastAsia="宋体" w:cs="Times New Roman"/>
                      <w:color w:val="000000" w:themeColor="text1"/>
                      <w:spacing w:val="0"/>
                      <w:kern w:val="21"/>
                      <w:sz w:val="21"/>
                      <w:szCs w:val="21"/>
                      <w:highlight w:val="none"/>
                      <w:lang w:val="en-US" w:eastAsia="zh-CN"/>
                      <w14:textFill>
                        <w14:solidFill>
                          <w14:schemeClr w14:val="tx1"/>
                        </w14:solidFill>
                      </w14:textFill>
                    </w:rPr>
                  </w:pPr>
                  <w:r>
                    <w:rPr>
                      <w:rFonts w:hint="eastAsia" w:cs="Times New Roman"/>
                      <w:color w:val="000000" w:themeColor="text1"/>
                      <w:spacing w:val="0"/>
                      <w:kern w:val="21"/>
                      <w:sz w:val="21"/>
                      <w:szCs w:val="21"/>
                      <w:highlight w:val="none"/>
                      <w:lang w:val="en-US" w:eastAsia="zh-CN"/>
                      <w14:textFill>
                        <w14:solidFill>
                          <w14:schemeClr w14:val="tx1"/>
                        </w14:solidFill>
                      </w14:textFill>
                    </w:rPr>
                    <w:t>液化石油气</w:t>
                  </w:r>
                </w:p>
              </w:tc>
              <w:tc>
                <w:tcPr>
                  <w:tcW w:w="4529" w:type="pct"/>
                  <w:noWrap w:val="0"/>
                  <w:vAlign w:val="center"/>
                </w:tcPr>
                <w:p w14:paraId="4309D19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14:textFill>
                        <w14:solidFill>
                          <w14:schemeClr w14:val="tx1"/>
                        </w14:solidFill>
                      </w14:textFill>
                    </w:rPr>
                    <w:t>由</w:t>
                  </w:r>
                  <w:r>
                    <w:rPr>
                      <w:rFonts w:hint="default" w:ascii="Times New Roman" w:hAnsi="Times New Roman" w:eastAsia="宋体" w:cs="Times New Roman"/>
                      <w:color w:val="000000" w:themeColor="text1"/>
                      <w:spacing w:val="6"/>
                      <w:sz w:val="21"/>
                      <w:szCs w:val="21"/>
                      <w14:textFill>
                        <w14:solidFill>
                          <w14:schemeClr w14:val="tx1"/>
                        </w14:solidFill>
                      </w14:textFill>
                    </w:rPr>
                    <w:fldChar w:fldCharType="begin"/>
                  </w:r>
                  <w:r>
                    <w:rPr>
                      <w:rFonts w:hint="default" w:ascii="Times New Roman" w:hAnsi="Times New Roman" w:eastAsia="宋体" w:cs="Times New Roman"/>
                      <w:color w:val="000000" w:themeColor="text1"/>
                      <w:spacing w:val="6"/>
                      <w:sz w:val="21"/>
                      <w:szCs w:val="21"/>
                      <w14:textFill>
                        <w14:solidFill>
                          <w14:schemeClr w14:val="tx1"/>
                        </w14:solidFill>
                      </w14:textFill>
                    </w:rPr>
                    <w:instrText xml:space="preserve"> HYPERLINK "https://baike.baidu.com/item/%E5%A4%A9%E7%84%B6%E6%B0%94/36482?fromModule=lemma_inlink" \t "https://baike.baidu.com/item/%E6%B6%B2%E5%8C%96%E7%9F%B3%E6%B2%B9%E6%B0%94/_blank" </w:instrText>
                  </w:r>
                  <w:r>
                    <w:rPr>
                      <w:rFonts w:hint="default" w:ascii="Times New Roman" w:hAnsi="Times New Roman" w:eastAsia="宋体" w:cs="Times New Roman"/>
                      <w:color w:val="000000" w:themeColor="text1"/>
                      <w:spacing w:val="6"/>
                      <w:sz w:val="21"/>
                      <w:szCs w:val="21"/>
                      <w14:textFill>
                        <w14:solidFill>
                          <w14:schemeClr w14:val="tx1"/>
                        </w14:solidFill>
                      </w14:textFill>
                    </w:rPr>
                    <w:fldChar w:fldCharType="separate"/>
                  </w:r>
                  <w:r>
                    <w:rPr>
                      <w:rFonts w:hint="default" w:ascii="Times New Roman" w:hAnsi="Times New Roman" w:eastAsia="宋体" w:cs="Times New Roman"/>
                      <w:color w:val="000000" w:themeColor="text1"/>
                      <w:spacing w:val="6"/>
                      <w:sz w:val="21"/>
                      <w:szCs w:val="21"/>
                      <w14:textFill>
                        <w14:solidFill>
                          <w14:schemeClr w14:val="tx1"/>
                        </w14:solidFill>
                      </w14:textFill>
                    </w:rPr>
                    <w:t>天然气</w:t>
                  </w:r>
                  <w:r>
                    <w:rPr>
                      <w:rFonts w:hint="default" w:ascii="Times New Roman" w:hAnsi="Times New Roman" w:eastAsia="宋体" w:cs="Times New Roman"/>
                      <w:color w:val="000000" w:themeColor="text1"/>
                      <w:spacing w:val="6"/>
                      <w:sz w:val="21"/>
                      <w:szCs w:val="21"/>
                      <w14:textFill>
                        <w14:solidFill>
                          <w14:schemeClr w14:val="tx1"/>
                        </w14:solidFill>
                      </w14:textFill>
                    </w:rPr>
                    <w:fldChar w:fldCharType="end"/>
                  </w:r>
                  <w:r>
                    <w:rPr>
                      <w:rFonts w:hint="default" w:ascii="Times New Roman" w:hAnsi="Times New Roman" w:eastAsia="宋体" w:cs="Times New Roman"/>
                      <w:color w:val="000000" w:themeColor="text1"/>
                      <w:spacing w:val="6"/>
                      <w:sz w:val="21"/>
                      <w:szCs w:val="21"/>
                      <w14:textFill>
                        <w14:solidFill>
                          <w14:schemeClr w14:val="tx1"/>
                        </w14:solidFill>
                      </w14:textFill>
                    </w:rPr>
                    <w:t>或者</w:t>
                  </w:r>
                  <w:r>
                    <w:rPr>
                      <w:rFonts w:hint="default" w:ascii="Times New Roman" w:hAnsi="Times New Roman" w:eastAsia="宋体" w:cs="Times New Roman"/>
                      <w:color w:val="000000" w:themeColor="text1"/>
                      <w:spacing w:val="6"/>
                      <w:sz w:val="21"/>
                      <w:szCs w:val="21"/>
                      <w14:textFill>
                        <w14:solidFill>
                          <w14:schemeClr w14:val="tx1"/>
                        </w14:solidFill>
                      </w14:textFill>
                    </w:rPr>
                    <w:fldChar w:fldCharType="begin"/>
                  </w:r>
                  <w:r>
                    <w:rPr>
                      <w:rFonts w:hint="default" w:ascii="Times New Roman" w:hAnsi="Times New Roman" w:eastAsia="宋体" w:cs="Times New Roman"/>
                      <w:color w:val="000000" w:themeColor="text1"/>
                      <w:spacing w:val="6"/>
                      <w:sz w:val="21"/>
                      <w:szCs w:val="21"/>
                      <w14:textFill>
                        <w14:solidFill>
                          <w14:schemeClr w14:val="tx1"/>
                        </w14:solidFill>
                      </w14:textFill>
                    </w:rPr>
                    <w:instrText xml:space="preserve"> HYPERLINK "https://baike.baidu.com/item/%E7%9F%B3%E6%B2%B9/322780?fromModule=lemma_inlink" \t "https://baike.baidu.com/item/%E6%B6%B2%E5%8C%96%E7%9F%B3%E6%B2%B9%E6%B0%94/_blank" </w:instrText>
                  </w:r>
                  <w:r>
                    <w:rPr>
                      <w:rFonts w:hint="default" w:ascii="Times New Roman" w:hAnsi="Times New Roman" w:eastAsia="宋体" w:cs="Times New Roman"/>
                      <w:color w:val="000000" w:themeColor="text1"/>
                      <w:spacing w:val="6"/>
                      <w:sz w:val="21"/>
                      <w:szCs w:val="21"/>
                      <w14:textFill>
                        <w14:solidFill>
                          <w14:schemeClr w14:val="tx1"/>
                        </w14:solidFill>
                      </w14:textFill>
                    </w:rPr>
                    <w:fldChar w:fldCharType="separate"/>
                  </w:r>
                  <w:r>
                    <w:rPr>
                      <w:rFonts w:hint="default" w:ascii="Times New Roman" w:hAnsi="Times New Roman" w:eastAsia="宋体" w:cs="Times New Roman"/>
                      <w:color w:val="000000" w:themeColor="text1"/>
                      <w:spacing w:val="6"/>
                      <w:sz w:val="21"/>
                      <w:szCs w:val="21"/>
                      <w14:textFill>
                        <w14:solidFill>
                          <w14:schemeClr w14:val="tx1"/>
                        </w14:solidFill>
                      </w14:textFill>
                    </w:rPr>
                    <w:t>石油</w:t>
                  </w:r>
                  <w:r>
                    <w:rPr>
                      <w:rFonts w:hint="default" w:ascii="Times New Roman" w:hAnsi="Times New Roman" w:eastAsia="宋体" w:cs="Times New Roman"/>
                      <w:color w:val="000000" w:themeColor="text1"/>
                      <w:spacing w:val="6"/>
                      <w:sz w:val="21"/>
                      <w:szCs w:val="21"/>
                      <w14:textFill>
                        <w14:solidFill>
                          <w14:schemeClr w14:val="tx1"/>
                        </w14:solidFill>
                      </w14:textFill>
                    </w:rPr>
                    <w:fldChar w:fldCharType="end"/>
                  </w:r>
                  <w:r>
                    <w:rPr>
                      <w:rFonts w:hint="default" w:ascii="Times New Roman" w:hAnsi="Times New Roman" w:eastAsia="宋体" w:cs="Times New Roman"/>
                      <w:color w:val="000000" w:themeColor="text1"/>
                      <w:spacing w:val="6"/>
                      <w:sz w:val="21"/>
                      <w:szCs w:val="21"/>
                      <w14:textFill>
                        <w14:solidFill>
                          <w14:schemeClr w14:val="tx1"/>
                        </w14:solidFill>
                      </w14:textFill>
                    </w:rPr>
                    <w:t>进行加压降温</w:t>
                  </w:r>
                  <w:r>
                    <w:rPr>
                      <w:rFonts w:hint="default" w:ascii="Times New Roman" w:hAnsi="Times New Roman" w:eastAsia="宋体" w:cs="Times New Roman"/>
                      <w:color w:val="000000" w:themeColor="text1"/>
                      <w:spacing w:val="6"/>
                      <w:sz w:val="21"/>
                      <w:szCs w:val="21"/>
                      <w14:textFill>
                        <w14:solidFill>
                          <w14:schemeClr w14:val="tx1"/>
                        </w14:solidFill>
                      </w14:textFill>
                    </w:rPr>
                    <w:fldChar w:fldCharType="begin"/>
                  </w:r>
                  <w:r>
                    <w:rPr>
                      <w:rFonts w:hint="default" w:ascii="Times New Roman" w:hAnsi="Times New Roman" w:eastAsia="宋体" w:cs="Times New Roman"/>
                      <w:color w:val="000000" w:themeColor="text1"/>
                      <w:spacing w:val="6"/>
                      <w:sz w:val="21"/>
                      <w:szCs w:val="21"/>
                      <w14:textFill>
                        <w14:solidFill>
                          <w14:schemeClr w14:val="tx1"/>
                        </w14:solidFill>
                      </w14:textFill>
                    </w:rPr>
                    <w:instrText xml:space="preserve"> HYPERLINK "https://baike.baidu.com/item/%E6%B6%B2%E5%8C%96/875256?fromModule=lemma_inlink" \t "https://baike.baidu.com/item/%E6%B6%B2%E5%8C%96%E7%9F%B3%E6%B2%B9%E6%B0%94/_blank" </w:instrText>
                  </w:r>
                  <w:r>
                    <w:rPr>
                      <w:rFonts w:hint="default" w:ascii="Times New Roman" w:hAnsi="Times New Roman" w:eastAsia="宋体" w:cs="Times New Roman"/>
                      <w:color w:val="000000" w:themeColor="text1"/>
                      <w:spacing w:val="6"/>
                      <w:sz w:val="21"/>
                      <w:szCs w:val="21"/>
                      <w14:textFill>
                        <w14:solidFill>
                          <w14:schemeClr w14:val="tx1"/>
                        </w14:solidFill>
                      </w14:textFill>
                    </w:rPr>
                    <w:fldChar w:fldCharType="separate"/>
                  </w:r>
                  <w:r>
                    <w:rPr>
                      <w:rFonts w:hint="default" w:ascii="Times New Roman" w:hAnsi="Times New Roman" w:eastAsia="宋体" w:cs="Times New Roman"/>
                      <w:color w:val="000000" w:themeColor="text1"/>
                      <w:spacing w:val="6"/>
                      <w:sz w:val="21"/>
                      <w:szCs w:val="21"/>
                      <w14:textFill>
                        <w14:solidFill>
                          <w14:schemeClr w14:val="tx1"/>
                        </w14:solidFill>
                      </w14:textFill>
                    </w:rPr>
                    <w:t>液化</w:t>
                  </w:r>
                  <w:r>
                    <w:rPr>
                      <w:rFonts w:hint="default" w:ascii="Times New Roman" w:hAnsi="Times New Roman" w:eastAsia="宋体" w:cs="Times New Roman"/>
                      <w:color w:val="000000" w:themeColor="text1"/>
                      <w:spacing w:val="6"/>
                      <w:sz w:val="21"/>
                      <w:szCs w:val="21"/>
                      <w14:textFill>
                        <w14:solidFill>
                          <w14:schemeClr w14:val="tx1"/>
                        </w14:solidFill>
                      </w14:textFill>
                    </w:rPr>
                    <w:fldChar w:fldCharType="end"/>
                  </w:r>
                  <w:r>
                    <w:rPr>
                      <w:rFonts w:hint="default" w:ascii="Times New Roman" w:hAnsi="Times New Roman" w:eastAsia="宋体" w:cs="Times New Roman"/>
                      <w:color w:val="000000" w:themeColor="text1"/>
                      <w:spacing w:val="6"/>
                      <w:sz w:val="21"/>
                      <w:szCs w:val="21"/>
                      <w14:textFill>
                        <w14:solidFill>
                          <w14:schemeClr w14:val="tx1"/>
                        </w14:solidFill>
                      </w14:textFill>
                    </w:rPr>
                    <w:t>所得到的一种无色挥发性液体</w:t>
                  </w:r>
                  <w:r>
                    <w:rPr>
                      <w:rFonts w:hint="eastAsia" w:ascii="Times New Roman" w:cs="Times New Roman"/>
                      <w:color w:val="000000" w:themeColor="text1"/>
                      <w:spacing w:val="6"/>
                      <w:sz w:val="21"/>
                      <w:szCs w:val="21"/>
                      <w:lang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1"/>
                      <w:szCs w:val="21"/>
                      <w:shd w:val="clear" w:fill="FFFFFF"/>
                      <w14:textFill>
                        <w14:solidFill>
                          <w14:schemeClr w14:val="tx1"/>
                        </w14:solidFill>
                      </w14:textFill>
                    </w:rPr>
                    <w:t>主要</w:t>
                  </w:r>
                  <w:r>
                    <w:rPr>
                      <w:rFonts w:hint="eastAsia" w:ascii="Times New Roman" w:cs="Times New Roman"/>
                      <w:i w:val="0"/>
                      <w:iCs w:val="0"/>
                      <w:caps w:val="0"/>
                      <w:color w:val="000000" w:themeColor="text1"/>
                      <w:spacing w:val="0"/>
                      <w:sz w:val="21"/>
                      <w:szCs w:val="21"/>
                      <w:shd w:val="clear" w:fill="FFFFFF"/>
                      <w:lang w:val="en-US" w:eastAsia="zh-CN"/>
                      <w14:textFill>
                        <w14:solidFill>
                          <w14:schemeClr w14:val="tx1"/>
                        </w14:solidFill>
                      </w14:textFill>
                    </w:rPr>
                    <w:t>由</w:t>
                  </w:r>
                  <w:r>
                    <w:rPr>
                      <w:rFonts w:hint="default" w:ascii="Times New Roman" w:hAnsi="Times New Roman" w:eastAsia="宋体" w:cs="Times New Roman"/>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Times New Roman" w:hAnsi="Times New Roman" w:eastAsia="宋体" w:cs="Times New Roman"/>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"https://baike.baidu.com/item/%E7%A2%B3%E6%B0%A2%E5%8C%96%E5%90%88%E7%89%A9/256902?fromModule=lemma_inlink" \t "https://baike.baidu.com/item/%E6%B6%B2%E5%8C%96%E7%9F%B3%E6%B2%B9%E6%B0%94/_blank" </w:instrText>
                  </w:r>
                  <w:r>
                    <w:rPr>
                      <w:rFonts w:hint="default" w:ascii="Times New Roman" w:hAnsi="Times New Roman" w:eastAsia="宋体" w:cs="Times New Roman"/>
                      <w:i w:val="0"/>
                      <w:iCs w:val="0"/>
                      <w:caps w:val="0"/>
                      <w:color w:val="000000" w:themeColor="text1"/>
                      <w:spacing w:val="0"/>
                      <w:sz w:val="21"/>
                      <w:szCs w:val="21"/>
                      <w:u w:val="none"/>
                      <w:shd w:val="clear" w:fill="FFFFFF"/>
                      <w14:textFill>
                        <w14:solidFill>
                          <w14:schemeClr w14:val="tx1"/>
                        </w14:solidFill>
                      </w14:textFill>
                    </w:rPr>
                    <w:fldChar w:fldCharType="separate"/>
                  </w:r>
                  <w:r>
                    <w:rPr>
                      <w:rStyle w:val="38"/>
                      <w:rFonts w:hint="default" w:ascii="Times New Roman" w:hAnsi="Times New Roman" w:eastAsia="宋体" w:cs="Times New Roman"/>
                      <w:i w:val="0"/>
                      <w:iCs w:val="0"/>
                      <w:caps w:val="0"/>
                      <w:color w:val="000000" w:themeColor="text1"/>
                      <w:spacing w:val="0"/>
                      <w:sz w:val="21"/>
                      <w:szCs w:val="21"/>
                      <w:u w:val="none"/>
                      <w:shd w:val="clear" w:fill="FFFFFF"/>
                      <w14:textFill>
                        <w14:solidFill>
                          <w14:schemeClr w14:val="tx1"/>
                        </w14:solidFill>
                      </w14:textFill>
                    </w:rPr>
                    <w:t>碳氢化合物</w:t>
                  </w:r>
                  <w:r>
                    <w:rPr>
                      <w:rFonts w:hint="default" w:ascii="Times New Roman" w:hAnsi="Times New Roman" w:eastAsia="宋体" w:cs="Times New Roman"/>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Times New Roman" w:hAnsi="Times New Roman" w:eastAsia="宋体" w:cs="Times New Roman"/>
                      <w:i w:val="0"/>
                      <w:iCs w:val="0"/>
                      <w:caps w:val="0"/>
                      <w:color w:val="000000" w:themeColor="text1"/>
                      <w:spacing w:val="0"/>
                      <w:sz w:val="21"/>
                      <w:szCs w:val="21"/>
                      <w:shd w:val="clear" w:fill="FFFFFF"/>
                      <w14:textFill>
                        <w14:solidFill>
                          <w14:schemeClr w14:val="tx1"/>
                        </w14:solidFill>
                      </w14:textFill>
                    </w:rPr>
                    <w:t>组成，其主要成分为丙烷、丁烷以及其他的</w:t>
                  </w:r>
                  <w:r>
                    <w:rPr>
                      <w:rFonts w:hint="default" w:ascii="Times New Roman" w:hAnsi="Times New Roman" w:eastAsia="宋体" w:cs="Times New Roman"/>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Times New Roman" w:hAnsi="Times New Roman" w:eastAsia="宋体" w:cs="Times New Roman"/>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"https://baike.baidu.com/item/%E7%83%B7%E7%83%83/1138261?fromModule=lemma_inlink" \t "https://baike.baidu.com/item/%E6%B6%B2%E5%8C%96%E7%9F%B3%E6%B2%B9%E6%B0%94/_blank" </w:instrText>
                  </w:r>
                  <w:r>
                    <w:rPr>
                      <w:rFonts w:hint="default" w:ascii="Times New Roman" w:hAnsi="Times New Roman" w:eastAsia="宋体" w:cs="Times New Roman"/>
                      <w:i w:val="0"/>
                      <w:iCs w:val="0"/>
                      <w:caps w:val="0"/>
                      <w:color w:val="000000" w:themeColor="text1"/>
                      <w:spacing w:val="0"/>
                      <w:sz w:val="21"/>
                      <w:szCs w:val="21"/>
                      <w:u w:val="none"/>
                      <w:shd w:val="clear" w:fill="FFFFFF"/>
                      <w14:textFill>
                        <w14:solidFill>
                          <w14:schemeClr w14:val="tx1"/>
                        </w14:solidFill>
                      </w14:textFill>
                    </w:rPr>
                    <w:fldChar w:fldCharType="separate"/>
                  </w:r>
                  <w:r>
                    <w:rPr>
                      <w:rStyle w:val="38"/>
                      <w:rFonts w:hint="default" w:ascii="Times New Roman" w:hAnsi="Times New Roman" w:eastAsia="宋体" w:cs="Times New Roman"/>
                      <w:i w:val="0"/>
                      <w:iCs w:val="0"/>
                      <w:caps w:val="0"/>
                      <w:color w:val="000000" w:themeColor="text1"/>
                      <w:spacing w:val="0"/>
                      <w:sz w:val="21"/>
                      <w:szCs w:val="21"/>
                      <w:u w:val="none"/>
                      <w:shd w:val="clear" w:fill="FFFFFF"/>
                      <w14:textFill>
                        <w14:solidFill>
                          <w14:schemeClr w14:val="tx1"/>
                        </w14:solidFill>
                      </w14:textFill>
                    </w:rPr>
                    <w:t>烷烃</w:t>
                  </w:r>
                  <w:r>
                    <w:rPr>
                      <w:rFonts w:hint="default" w:ascii="Times New Roman" w:hAnsi="Times New Roman" w:eastAsia="宋体" w:cs="Times New Roman"/>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Times New Roman" w:hAnsi="Times New Roman" w:eastAsia="宋体" w:cs="Times New Roman"/>
                      <w:i w:val="0"/>
                      <w:iCs w:val="0"/>
                      <w:caps w:val="0"/>
                      <w:color w:val="000000" w:themeColor="text1"/>
                      <w:spacing w:val="0"/>
                      <w:sz w:val="21"/>
                      <w:szCs w:val="21"/>
                      <w:shd w:val="clear" w:fill="FFFFFF"/>
                      <w14:textFill>
                        <w14:solidFill>
                          <w14:schemeClr w14:val="tx1"/>
                        </w14:solidFill>
                      </w14:textFill>
                    </w:rPr>
                    <w:t>等</w:t>
                  </w:r>
                  <w:r>
                    <w:rPr>
                      <w:rFonts w:hint="eastAsia" w:ascii="Times New Roman" w:cs="Times New Roman"/>
                      <w:i w:val="0"/>
                      <w:iCs w:val="0"/>
                      <w:caps w:val="0"/>
                      <w:color w:val="000000" w:themeColor="text1"/>
                      <w:spacing w:val="0"/>
                      <w:sz w:val="21"/>
                      <w:szCs w:val="21"/>
                      <w:shd w:val="clear" w:fill="FFFFFF"/>
                      <w:lang w:eastAsia="zh-CN"/>
                      <w14:textFill>
                        <w14:solidFill>
                          <w14:schemeClr w14:val="tx1"/>
                        </w14:solidFill>
                      </w14:textFill>
                    </w:rPr>
                    <w:t>，</w:t>
                  </w:r>
                  <w:r>
                    <w:rPr>
                      <w:rFonts w:hint="eastAsia" w:ascii="Times New Roman" w:cs="Times New Roman"/>
                      <w:color w:val="000000" w:themeColor="text1"/>
                      <w:spacing w:val="6"/>
                      <w:sz w:val="21"/>
                      <w:szCs w:val="21"/>
                      <w:lang w:val="en-US" w:eastAsia="zh-CN"/>
                      <w14:textFill>
                        <w14:solidFill>
                          <w14:schemeClr w14:val="tx1"/>
                        </w14:solidFill>
                      </w14:textFill>
                    </w:rPr>
                    <w:t>液态密度为580kg/m</w:t>
                  </w:r>
                  <w:r>
                    <w:rPr>
                      <w:rFonts w:hint="eastAsia" w:ascii="Times New Roman" w:cs="Times New Roman"/>
                      <w:color w:val="000000" w:themeColor="text1"/>
                      <w:spacing w:val="6"/>
                      <w:sz w:val="21"/>
                      <w:szCs w:val="21"/>
                      <w:vertAlign w:val="superscript"/>
                      <w:lang w:val="en-US" w:eastAsia="zh-CN"/>
                      <w14:textFill>
                        <w14:solidFill>
                          <w14:schemeClr w14:val="tx1"/>
                        </w14:solidFill>
                      </w14:textFill>
                    </w:rPr>
                    <w:t>3</w:t>
                  </w:r>
                  <w:r>
                    <w:rPr>
                      <w:rFonts w:hint="eastAsia" w:ascii="Times New Roman" w:cs="Times New Roman"/>
                      <w:color w:val="000000" w:themeColor="text1"/>
                      <w:spacing w:val="6"/>
                      <w:sz w:val="21"/>
                      <w:szCs w:val="21"/>
                      <w:lang w:val="en-US" w:eastAsia="zh-CN"/>
                      <w14:textFill>
                        <w14:solidFill>
                          <w14:schemeClr w14:val="tx1"/>
                        </w14:solidFill>
                      </w14:textFill>
                    </w:rPr>
                    <w:t>，气态密度为2.35kg/m</w:t>
                  </w:r>
                  <w:r>
                    <w:rPr>
                      <w:rFonts w:hint="eastAsia" w:ascii="Times New Roman" w:cs="Times New Roman"/>
                      <w:color w:val="000000" w:themeColor="text1"/>
                      <w:spacing w:val="6"/>
                      <w:sz w:val="21"/>
                      <w:szCs w:val="21"/>
                      <w:vertAlign w:val="superscript"/>
                      <w:lang w:val="en-US" w:eastAsia="zh-CN"/>
                      <w14:textFill>
                        <w14:solidFill>
                          <w14:schemeClr w14:val="tx1"/>
                        </w14:solidFill>
                      </w14:textFill>
                    </w:rPr>
                    <w:t>3</w:t>
                  </w:r>
                  <w:r>
                    <w:rPr>
                      <w:rFonts w:hint="eastAsia" w:ascii="Times New Roman" w:cs="Times New Roman"/>
                      <w:color w:val="000000" w:themeColor="text1"/>
                      <w:spacing w:val="6"/>
                      <w:sz w:val="21"/>
                      <w:szCs w:val="21"/>
                      <w:vertAlign w:val="baseline"/>
                      <w:lang w:val="en-US" w:eastAsia="zh-CN"/>
                      <w14:textFill>
                        <w14:solidFill>
                          <w14:schemeClr w14:val="tx1"/>
                        </w14:solidFill>
                      </w14:textFill>
                    </w:rPr>
                    <w:t>。</w:t>
                  </w:r>
                  <w:r>
                    <w:rPr>
                      <w:rFonts w:hint="eastAsia"/>
                      <w:color w:val="000000" w:themeColor="text1"/>
                      <w:spacing w:val="0"/>
                      <w:kern w:val="21"/>
                      <w:sz w:val="21"/>
                      <w:szCs w:val="21"/>
                      <w:highlight w:val="none"/>
                      <w:lang w:val="en-US" w:eastAsia="zh-CN"/>
                      <w14:textFill>
                        <w14:solidFill>
                          <w14:schemeClr w14:val="tx1"/>
                        </w14:solidFill>
                      </w14:textFill>
                    </w:rPr>
                    <w:t>属于风险导则附录B中风险物质。</w:t>
                  </w:r>
                </w:p>
              </w:tc>
            </w:tr>
          </w:tbl>
          <w:p w14:paraId="0187DA23">
            <w:pPr>
              <w:shd w:val="clear"/>
              <w:spacing w:line="240" w:lineRule="auto"/>
              <w:jc w:val="both"/>
              <w:textAlignment w:val="baseline"/>
              <w:rPr>
                <w:rFonts w:hint="default" w:ascii="Times New Roman" w:hAnsi="Times New Roman" w:eastAsia="宋体" w:cs="Times New Roman"/>
                <w:b/>
                <w:bCs/>
                <w:color w:val="000000" w:themeColor="text1"/>
                <w:sz w:val="24"/>
                <w:highlight w:val="none"/>
                <w:lang w:val="en-US" w:eastAsia="zh-CN" w:bidi="ar"/>
                <w14:textFill>
                  <w14:solidFill>
                    <w14:schemeClr w14:val="tx1"/>
                  </w14:solidFill>
                </w14:textFill>
              </w:rPr>
            </w:pPr>
          </w:p>
          <w:p w14:paraId="164A9C0A">
            <w:pPr>
              <w:shd w:val="clear"/>
              <w:spacing w:line="240" w:lineRule="auto"/>
              <w:ind w:firstLine="482" w:firstLineChars="200"/>
              <w:jc w:val="both"/>
              <w:textAlignment w:val="baseline"/>
              <w:rPr>
                <w:rFonts w:hint="default" w:ascii="Times New Roman" w:hAnsi="Times New Roman" w:eastAsia="宋体" w:cs="Times New Roman"/>
                <w:b/>
                <w:bCs/>
                <w:color w:val="000000" w:themeColor="text1"/>
                <w:sz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bidi="ar"/>
                <w14:textFill>
                  <w14:solidFill>
                    <w14:schemeClr w14:val="tx1"/>
                  </w14:solidFill>
                </w14:textFill>
              </w:rPr>
              <w:t>4、</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主要生产设备</w:t>
            </w:r>
          </w:p>
          <w:p w14:paraId="14CD1D35">
            <w:pPr>
              <w:shd w:val="clear"/>
              <w:spacing w:line="360" w:lineRule="auto"/>
              <w:jc w:val="center"/>
              <w:rPr>
                <w:rFonts w:hint="eastAsia" w:cs="Times New Roman"/>
                <w:b/>
                <w:bCs/>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表7项目主要生产设备一览表</w:t>
            </w:r>
          </w:p>
          <w:tbl>
            <w:tblPr>
              <w:tblStyle w:val="34"/>
              <w:tblW w:w="73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1312"/>
              <w:gridCol w:w="1591"/>
              <w:gridCol w:w="1262"/>
              <w:gridCol w:w="1349"/>
              <w:gridCol w:w="1171"/>
            </w:tblGrid>
            <w:tr w14:paraId="36C7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5B7772EE">
                  <w:pPr>
                    <w:keepNext w:val="0"/>
                    <w:keepLines w:val="0"/>
                    <w:pageBreakBefore w:val="0"/>
                    <w:widowControl w:val="0"/>
                    <w:kinsoku/>
                    <w:wordWrap/>
                    <w:overflowPunct/>
                    <w:topLinePunct w:val="0"/>
                    <w:autoSpaceDE/>
                    <w:autoSpaceDN/>
                    <w:bidi w:val="0"/>
                    <w:snapToGrid w:val="0"/>
                    <w:spacing w:line="240" w:lineRule="auto"/>
                    <w:jc w:val="center"/>
                    <w:rPr>
                      <w:rFonts w:hint="default" w:ascii="宋体" w:hAnsi="Times New Roman" w:eastAsia="宋体" w:cs="宋体"/>
                      <w:b/>
                      <w:bCs/>
                      <w:snapToGrid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序号</w:t>
                  </w:r>
                </w:p>
              </w:tc>
              <w:tc>
                <w:tcPr>
                  <w:tcW w:w="1312" w:type="dxa"/>
                  <w:vAlign w:val="center"/>
                </w:tcPr>
                <w:p w14:paraId="74CD6C6D">
                  <w:pPr>
                    <w:keepNext w:val="0"/>
                    <w:keepLines w:val="0"/>
                    <w:pageBreakBefore w:val="0"/>
                    <w:widowControl w:val="0"/>
                    <w:kinsoku/>
                    <w:wordWrap/>
                    <w:overflowPunct/>
                    <w:topLinePunct w:val="0"/>
                    <w:autoSpaceDE/>
                    <w:autoSpaceDN/>
                    <w:bidi w:val="0"/>
                    <w:snapToGrid w:val="0"/>
                    <w:spacing w:line="240" w:lineRule="auto"/>
                    <w:jc w:val="center"/>
                    <w:rPr>
                      <w:rFonts w:hint="default" w:ascii="宋体" w:hAnsi="Times New Roman" w:eastAsia="宋体" w:cs="宋体"/>
                      <w:b/>
                      <w:bCs/>
                      <w:snapToGrid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设备名称</w:t>
                  </w:r>
                </w:p>
              </w:tc>
              <w:tc>
                <w:tcPr>
                  <w:tcW w:w="1591" w:type="dxa"/>
                  <w:vAlign w:val="center"/>
                </w:tcPr>
                <w:p w14:paraId="4233F462">
                  <w:pPr>
                    <w:keepNext w:val="0"/>
                    <w:keepLines w:val="0"/>
                    <w:pageBreakBefore w:val="0"/>
                    <w:widowControl w:val="0"/>
                    <w:kinsoku/>
                    <w:wordWrap/>
                    <w:overflowPunct/>
                    <w:topLinePunct w:val="0"/>
                    <w:autoSpaceDE/>
                    <w:autoSpaceDN/>
                    <w:bidi w:val="0"/>
                    <w:snapToGrid w:val="0"/>
                    <w:spacing w:line="240" w:lineRule="auto"/>
                    <w:jc w:val="center"/>
                    <w:rPr>
                      <w:rFonts w:hint="default" w:ascii="宋体" w:hAnsi="Times New Roman" w:eastAsia="宋体" w:cs="宋体"/>
                      <w:b/>
                      <w:bCs/>
                      <w:snapToGrid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型号</w:t>
                  </w:r>
                </w:p>
              </w:tc>
              <w:tc>
                <w:tcPr>
                  <w:tcW w:w="1262" w:type="dxa"/>
                </w:tcPr>
                <w:p w14:paraId="1B73E254">
                  <w:pPr>
                    <w:pStyle w:val="42"/>
                    <w:keepNext w:val="0"/>
                    <w:keepLines w:val="0"/>
                    <w:pageBreakBefore w:val="0"/>
                    <w:widowControl w:val="0"/>
                    <w:tabs>
                      <w:tab w:val="left" w:pos="180"/>
                      <w:tab w:val="clear" w:pos="0"/>
                      <w:tab w:val="clear" w:pos="360"/>
                      <w:tab w:val="clear" w:pos="540"/>
                      <w:tab w:val="clear" w:pos="567"/>
                    </w:tabs>
                    <w:kinsoku/>
                    <w:wordWrap/>
                    <w:overflowPunct/>
                    <w:topLinePunct w:val="0"/>
                    <w:autoSpaceDE/>
                    <w:autoSpaceDN/>
                    <w:bidi w:val="0"/>
                    <w:adjustRightInd/>
                    <w:snapToGrid/>
                    <w:spacing w:line="240" w:lineRule="auto"/>
                    <w:ind w:firstLine="0"/>
                    <w:jc w:val="center"/>
                    <w:textAlignment w:val="auto"/>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数量（台）</w:t>
                  </w:r>
                </w:p>
              </w:tc>
              <w:tc>
                <w:tcPr>
                  <w:tcW w:w="1349" w:type="dxa"/>
                </w:tcPr>
                <w:p w14:paraId="6506D553">
                  <w:pPr>
                    <w:pStyle w:val="42"/>
                    <w:keepNext w:val="0"/>
                    <w:keepLines w:val="0"/>
                    <w:pageBreakBefore w:val="0"/>
                    <w:widowControl w:val="0"/>
                    <w:tabs>
                      <w:tab w:val="left" w:pos="180"/>
                      <w:tab w:val="clear" w:pos="0"/>
                      <w:tab w:val="clear" w:pos="360"/>
                      <w:tab w:val="clear" w:pos="540"/>
                      <w:tab w:val="clear" w:pos="567"/>
                    </w:tabs>
                    <w:kinsoku/>
                    <w:wordWrap/>
                    <w:overflowPunct/>
                    <w:topLinePunct w:val="0"/>
                    <w:autoSpaceDE/>
                    <w:autoSpaceDN/>
                    <w:bidi w:val="0"/>
                    <w:adjustRightInd/>
                    <w:snapToGrid/>
                    <w:spacing w:line="240" w:lineRule="auto"/>
                    <w:ind w:firstLine="0"/>
                    <w:jc w:val="center"/>
                    <w:textAlignment w:val="auto"/>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能耗</w:t>
                  </w:r>
                </w:p>
              </w:tc>
              <w:tc>
                <w:tcPr>
                  <w:tcW w:w="1171" w:type="dxa"/>
                </w:tcPr>
                <w:p w14:paraId="178605DF">
                  <w:pPr>
                    <w:pStyle w:val="42"/>
                    <w:keepNext w:val="0"/>
                    <w:keepLines w:val="0"/>
                    <w:pageBreakBefore w:val="0"/>
                    <w:widowControl w:val="0"/>
                    <w:tabs>
                      <w:tab w:val="left" w:pos="180"/>
                      <w:tab w:val="clear" w:pos="0"/>
                      <w:tab w:val="clear" w:pos="360"/>
                      <w:tab w:val="clear" w:pos="540"/>
                      <w:tab w:val="clear" w:pos="567"/>
                    </w:tabs>
                    <w:kinsoku/>
                    <w:wordWrap/>
                    <w:overflowPunct/>
                    <w:topLinePunct w:val="0"/>
                    <w:autoSpaceDE/>
                    <w:autoSpaceDN/>
                    <w:bidi w:val="0"/>
                    <w:adjustRightInd/>
                    <w:snapToGrid/>
                    <w:spacing w:line="240" w:lineRule="auto"/>
                    <w:ind w:firstLine="0"/>
                    <w:jc w:val="center"/>
                    <w:textAlignment w:val="auto"/>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工序</w:t>
                  </w:r>
                </w:p>
              </w:tc>
            </w:tr>
            <w:tr w14:paraId="42A1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Merge w:val="restart"/>
                  <w:vAlign w:val="center"/>
                </w:tcPr>
                <w:p w14:paraId="3C9C2397">
                  <w:pPr>
                    <w:keepNext w:val="0"/>
                    <w:keepLines w:val="0"/>
                    <w:pageBreakBefore w:val="0"/>
                    <w:widowControl w:val="0"/>
                    <w:kinsoku/>
                    <w:wordWrap/>
                    <w:overflowPunct/>
                    <w:topLinePunct w:val="0"/>
                    <w:autoSpaceDE/>
                    <w:autoSpaceDN/>
                    <w:bidi w:val="0"/>
                    <w:snapToGrid w:val="0"/>
                    <w:spacing w:line="240" w:lineRule="auto"/>
                    <w:jc w:val="center"/>
                    <w:rPr>
                      <w:rFonts w:hint="eastAsia"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312" w:type="dxa"/>
                  <w:vMerge w:val="restart"/>
                  <w:vAlign w:val="center"/>
                </w:tcPr>
                <w:p w14:paraId="1D7F6884">
                  <w:pPr>
                    <w:ind w:right="71" w:rightChars="34"/>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压铸机</w:t>
                  </w:r>
                </w:p>
              </w:tc>
              <w:tc>
                <w:tcPr>
                  <w:tcW w:w="1591" w:type="dxa"/>
                  <w:vAlign w:val="center"/>
                </w:tcPr>
                <w:p w14:paraId="4318C4B2">
                  <w:pPr>
                    <w:widowControl/>
                    <w:jc w:val="center"/>
                    <w:rPr>
                      <w:rFonts w:hint="default" w:ascii="Times New Roman" w:hAnsi="Times New Roman" w:eastAsia="宋体" w:cs="Times New Roman"/>
                      <w:b w:val="0"/>
                      <w:bCs w:val="0"/>
                      <w:color w:val="000000" w:themeColor="text1"/>
                      <w:kern w:val="2"/>
                      <w:sz w:val="21"/>
                      <w:szCs w:val="21"/>
                      <w:u w:val="none"/>
                      <w:lang w:val="en-US" w:eastAsia="zh-CN" w:bidi="ar-SA"/>
                      <w14:textFill>
                        <w14:solidFill>
                          <w14:schemeClr w14:val="tx1"/>
                        </w14:solidFill>
                      </w14:textFill>
                    </w:rPr>
                  </w:pPr>
                  <w:r>
                    <w:rPr>
                      <w:color w:val="000000" w:themeColor="text1"/>
                      <w:kern w:val="0"/>
                      <w:szCs w:val="21"/>
                      <w:u w:val="none"/>
                      <w:lang w:bidi="ar"/>
                      <w14:textFill>
                        <w14:solidFill>
                          <w14:schemeClr w14:val="tx1"/>
                        </w14:solidFill>
                      </w14:textFill>
                    </w:rPr>
                    <w:t>400T</w:t>
                  </w:r>
                </w:p>
              </w:tc>
              <w:tc>
                <w:tcPr>
                  <w:tcW w:w="1262" w:type="dxa"/>
                  <w:vAlign w:val="center"/>
                </w:tcPr>
                <w:p w14:paraId="6FDF6BF0">
                  <w:pPr>
                    <w:widowControl/>
                    <w:jc w:val="center"/>
                    <w:rPr>
                      <w:rFonts w:hint="default" w:ascii="Times New Roman" w:hAnsi="Times New Roman" w:eastAsia="宋体" w:cs="Times New Roman"/>
                      <w:b w:val="0"/>
                      <w:bCs w:val="0"/>
                      <w:snapToGrid w:val="0"/>
                      <w:color w:val="000000" w:themeColor="text1"/>
                      <w:kern w:val="2"/>
                      <w:sz w:val="21"/>
                      <w:szCs w:val="21"/>
                      <w:u w:val="none"/>
                      <w:vertAlign w:val="baseline"/>
                      <w:lang w:val="en-US" w:eastAsia="zh-CN" w:bidi="ar-SA"/>
                      <w14:textFill>
                        <w14:solidFill>
                          <w14:schemeClr w14:val="tx1"/>
                        </w14:solidFill>
                      </w14:textFill>
                    </w:rPr>
                  </w:pPr>
                  <w:r>
                    <w:rPr>
                      <w:rFonts w:hint="eastAsia"/>
                      <w:color w:val="000000" w:themeColor="text1"/>
                      <w:kern w:val="0"/>
                      <w:szCs w:val="21"/>
                      <w:u w:val="none"/>
                      <w:lang w:bidi="ar"/>
                      <w14:textFill>
                        <w14:solidFill>
                          <w14:schemeClr w14:val="tx1"/>
                        </w14:solidFill>
                      </w14:textFill>
                    </w:rPr>
                    <w:t>1</w:t>
                  </w:r>
                </w:p>
              </w:tc>
              <w:tc>
                <w:tcPr>
                  <w:tcW w:w="1349" w:type="dxa"/>
                  <w:vMerge w:val="restart"/>
                  <w:vAlign w:val="center"/>
                </w:tcPr>
                <w:p w14:paraId="69DB492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用电</w:t>
                  </w:r>
                </w:p>
              </w:tc>
              <w:tc>
                <w:tcPr>
                  <w:tcW w:w="1171" w:type="dxa"/>
                  <w:vMerge w:val="restart"/>
                  <w:vAlign w:val="center"/>
                </w:tcPr>
                <w:p w14:paraId="2E30C49B">
                  <w:pPr>
                    <w:jc w:val="center"/>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压铸</w:t>
                  </w:r>
                </w:p>
              </w:tc>
            </w:tr>
            <w:tr w14:paraId="5472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Merge w:val="continue"/>
                  <w:vAlign w:val="center"/>
                </w:tcPr>
                <w:p w14:paraId="7CA2B50C">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p>
              </w:tc>
              <w:tc>
                <w:tcPr>
                  <w:tcW w:w="1312" w:type="dxa"/>
                  <w:vMerge w:val="continue"/>
                  <w:vAlign w:val="center"/>
                </w:tcPr>
                <w:p w14:paraId="0F37D273">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p>
              </w:tc>
              <w:tc>
                <w:tcPr>
                  <w:tcW w:w="1591" w:type="dxa"/>
                  <w:vAlign w:val="center"/>
                </w:tcPr>
                <w:p w14:paraId="759AAB24">
                  <w:pPr>
                    <w:widowControl/>
                    <w:jc w:val="center"/>
                    <w:rPr>
                      <w:rFonts w:hint="default" w:ascii="Times New Roman" w:hAnsi="Times New Roman" w:eastAsia="宋体" w:cs="Times New Roman"/>
                      <w:b w:val="0"/>
                      <w:bCs w:val="0"/>
                      <w:color w:val="000000" w:themeColor="text1"/>
                      <w:kern w:val="2"/>
                      <w:sz w:val="21"/>
                      <w:szCs w:val="21"/>
                      <w:u w:val="none"/>
                      <w:lang w:val="en-US" w:eastAsia="zh-CN" w:bidi="ar-SA"/>
                      <w14:textFill>
                        <w14:solidFill>
                          <w14:schemeClr w14:val="tx1"/>
                        </w14:solidFill>
                      </w14:textFill>
                    </w:rPr>
                  </w:pPr>
                  <w:r>
                    <w:rPr>
                      <w:color w:val="000000" w:themeColor="text1"/>
                      <w:kern w:val="0"/>
                      <w:szCs w:val="21"/>
                      <w:u w:val="none"/>
                      <w:lang w:bidi="ar"/>
                      <w14:textFill>
                        <w14:solidFill>
                          <w14:schemeClr w14:val="tx1"/>
                        </w14:solidFill>
                      </w14:textFill>
                    </w:rPr>
                    <w:t>280T</w:t>
                  </w:r>
                </w:p>
              </w:tc>
              <w:tc>
                <w:tcPr>
                  <w:tcW w:w="1262" w:type="dxa"/>
                  <w:vAlign w:val="center"/>
                </w:tcPr>
                <w:p w14:paraId="49B1D9D8">
                  <w:pPr>
                    <w:widowControl/>
                    <w:jc w:val="center"/>
                    <w:rPr>
                      <w:rFonts w:hint="default" w:ascii="Times New Roman" w:hAnsi="Times New Roman" w:eastAsia="宋体" w:cs="Times New Roman"/>
                      <w:b w:val="0"/>
                      <w:bCs w:val="0"/>
                      <w:snapToGrid w:val="0"/>
                      <w:color w:val="000000" w:themeColor="text1"/>
                      <w:kern w:val="2"/>
                      <w:sz w:val="21"/>
                      <w:szCs w:val="21"/>
                      <w:u w:val="none"/>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u w:val="none"/>
                      <w:vertAlign w:val="baseline"/>
                      <w:lang w:val="en-US" w:eastAsia="zh-CN" w:bidi="ar-SA"/>
                      <w14:textFill>
                        <w14:solidFill>
                          <w14:schemeClr w14:val="tx1"/>
                        </w14:solidFill>
                      </w14:textFill>
                    </w:rPr>
                    <w:t>1</w:t>
                  </w:r>
                </w:p>
              </w:tc>
              <w:tc>
                <w:tcPr>
                  <w:tcW w:w="1349" w:type="dxa"/>
                  <w:vMerge w:val="continue"/>
                  <w:vAlign w:val="center"/>
                </w:tcPr>
                <w:p w14:paraId="554B68A9">
                  <w:pPr>
                    <w:jc w:val="center"/>
                    <w:rPr>
                      <w:rFonts w:hint="eastAsia" w:cs="Times New Roman"/>
                      <w:color w:val="000000" w:themeColor="text1"/>
                      <w:sz w:val="21"/>
                      <w:szCs w:val="21"/>
                      <w:highlight w:val="none"/>
                      <w:lang w:eastAsia="zh-CN"/>
                      <w14:textFill>
                        <w14:solidFill>
                          <w14:schemeClr w14:val="tx1"/>
                        </w14:solidFill>
                      </w14:textFill>
                    </w:rPr>
                  </w:pPr>
                </w:p>
              </w:tc>
              <w:tc>
                <w:tcPr>
                  <w:tcW w:w="1171" w:type="dxa"/>
                  <w:vMerge w:val="continue"/>
                  <w:vAlign w:val="center"/>
                </w:tcPr>
                <w:p w14:paraId="0DD80A8D">
                  <w:pPr>
                    <w:jc w:val="center"/>
                    <w:rPr>
                      <w:rFonts w:hint="default" w:ascii="Times New Roman" w:hAnsi="Times New Roman" w:eastAsia="宋体"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p>
              </w:tc>
            </w:tr>
            <w:tr w14:paraId="40AE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Merge w:val="continue"/>
                  <w:vAlign w:val="center"/>
                </w:tcPr>
                <w:p w14:paraId="451AE0C9">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p>
              </w:tc>
              <w:tc>
                <w:tcPr>
                  <w:tcW w:w="1312" w:type="dxa"/>
                  <w:vMerge w:val="continue"/>
                  <w:vAlign w:val="center"/>
                </w:tcPr>
                <w:p w14:paraId="66DB2B3D">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p>
              </w:tc>
              <w:tc>
                <w:tcPr>
                  <w:tcW w:w="1591" w:type="dxa"/>
                  <w:vAlign w:val="center"/>
                </w:tcPr>
                <w:p w14:paraId="1F878D7D">
                  <w:pPr>
                    <w:widowControl/>
                    <w:jc w:val="center"/>
                    <w:rPr>
                      <w:rFonts w:hint="default" w:ascii="Times New Roman" w:hAnsi="Times New Roman" w:eastAsia="宋体" w:cs="Times New Roman"/>
                      <w:b w:val="0"/>
                      <w:bCs w:val="0"/>
                      <w:color w:val="000000" w:themeColor="text1"/>
                      <w:kern w:val="2"/>
                      <w:sz w:val="21"/>
                      <w:szCs w:val="21"/>
                      <w:u w:val="none"/>
                      <w:lang w:val="en-US" w:eastAsia="zh-CN" w:bidi="ar-SA"/>
                      <w14:textFill>
                        <w14:solidFill>
                          <w14:schemeClr w14:val="tx1"/>
                        </w14:solidFill>
                      </w14:textFill>
                    </w:rPr>
                  </w:pPr>
                  <w:r>
                    <w:rPr>
                      <w:color w:val="000000" w:themeColor="text1"/>
                      <w:kern w:val="0"/>
                      <w:szCs w:val="21"/>
                      <w:u w:val="none"/>
                      <w:lang w:bidi="ar"/>
                      <w14:textFill>
                        <w14:solidFill>
                          <w14:schemeClr w14:val="tx1"/>
                        </w14:solidFill>
                      </w14:textFill>
                    </w:rPr>
                    <w:t>160T</w:t>
                  </w:r>
                </w:p>
              </w:tc>
              <w:tc>
                <w:tcPr>
                  <w:tcW w:w="1262" w:type="dxa"/>
                  <w:vAlign w:val="center"/>
                </w:tcPr>
                <w:p w14:paraId="010CFBCE">
                  <w:pPr>
                    <w:widowControl/>
                    <w:jc w:val="center"/>
                    <w:rPr>
                      <w:rFonts w:hint="default" w:ascii="Times New Roman" w:hAnsi="Times New Roman" w:eastAsia="宋体" w:cs="Times New Roman"/>
                      <w:b w:val="0"/>
                      <w:bCs w:val="0"/>
                      <w:snapToGrid w:val="0"/>
                      <w:color w:val="000000" w:themeColor="text1"/>
                      <w:kern w:val="2"/>
                      <w:sz w:val="21"/>
                      <w:szCs w:val="21"/>
                      <w:u w:val="none"/>
                      <w:vertAlign w:val="baseline"/>
                      <w:lang w:val="en-US" w:eastAsia="zh-CN" w:bidi="ar-SA"/>
                      <w14:textFill>
                        <w14:solidFill>
                          <w14:schemeClr w14:val="tx1"/>
                        </w14:solidFill>
                      </w14:textFill>
                    </w:rPr>
                  </w:pPr>
                  <w:r>
                    <w:rPr>
                      <w:rFonts w:hint="eastAsia"/>
                      <w:color w:val="000000" w:themeColor="text1"/>
                      <w:kern w:val="0"/>
                      <w:szCs w:val="21"/>
                      <w:u w:val="none"/>
                      <w:lang w:bidi="ar"/>
                      <w14:textFill>
                        <w14:solidFill>
                          <w14:schemeClr w14:val="tx1"/>
                        </w14:solidFill>
                      </w14:textFill>
                    </w:rPr>
                    <w:t>2</w:t>
                  </w:r>
                </w:p>
              </w:tc>
              <w:tc>
                <w:tcPr>
                  <w:tcW w:w="1349" w:type="dxa"/>
                  <w:vMerge w:val="continue"/>
                  <w:vAlign w:val="center"/>
                </w:tcPr>
                <w:p w14:paraId="1FFBC90D">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dxa"/>
                  <w:vMerge w:val="continue"/>
                  <w:vAlign w:val="center"/>
                </w:tcPr>
                <w:p w14:paraId="76C79374">
                  <w:pPr>
                    <w:jc w:val="center"/>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p>
              </w:tc>
            </w:tr>
            <w:tr w14:paraId="394C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Merge w:val="continue"/>
                  <w:vAlign w:val="center"/>
                </w:tcPr>
                <w:p w14:paraId="25CC5B43">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p>
              </w:tc>
              <w:tc>
                <w:tcPr>
                  <w:tcW w:w="1312" w:type="dxa"/>
                  <w:vMerge w:val="continue"/>
                  <w:vAlign w:val="center"/>
                </w:tcPr>
                <w:p w14:paraId="6B868213">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p>
              </w:tc>
              <w:tc>
                <w:tcPr>
                  <w:tcW w:w="1591" w:type="dxa"/>
                  <w:vAlign w:val="center"/>
                </w:tcPr>
                <w:p w14:paraId="7CE3FDF8">
                  <w:pPr>
                    <w:widowControl/>
                    <w:jc w:val="center"/>
                    <w:rPr>
                      <w:rFonts w:hint="default" w:ascii="Times New Roman" w:hAnsi="Times New Roman" w:eastAsia="宋体" w:cs="Times New Roman"/>
                      <w:b w:val="0"/>
                      <w:bCs w:val="0"/>
                      <w:color w:val="000000" w:themeColor="text1"/>
                      <w:kern w:val="2"/>
                      <w:sz w:val="21"/>
                      <w:szCs w:val="21"/>
                      <w:u w:val="none"/>
                      <w:lang w:val="en-US" w:eastAsia="zh-CN" w:bidi="ar-SA"/>
                      <w14:textFill>
                        <w14:solidFill>
                          <w14:schemeClr w14:val="tx1"/>
                        </w14:solidFill>
                      </w14:textFill>
                    </w:rPr>
                  </w:pPr>
                  <w:r>
                    <w:rPr>
                      <w:color w:val="000000" w:themeColor="text1"/>
                      <w:kern w:val="0"/>
                      <w:szCs w:val="21"/>
                      <w:u w:val="none"/>
                      <w:lang w:bidi="ar"/>
                      <w14:textFill>
                        <w14:solidFill>
                          <w14:schemeClr w14:val="tx1"/>
                        </w14:solidFill>
                      </w14:textFill>
                    </w:rPr>
                    <w:t>700T</w:t>
                  </w:r>
                </w:p>
              </w:tc>
              <w:tc>
                <w:tcPr>
                  <w:tcW w:w="1262" w:type="dxa"/>
                  <w:vAlign w:val="center"/>
                </w:tcPr>
                <w:p w14:paraId="480FF207">
                  <w:pPr>
                    <w:widowControl/>
                    <w:jc w:val="center"/>
                    <w:rPr>
                      <w:rFonts w:hint="default" w:ascii="Times New Roman" w:hAnsi="Times New Roman" w:eastAsia="宋体" w:cs="Times New Roman"/>
                      <w:b w:val="0"/>
                      <w:bCs w:val="0"/>
                      <w:snapToGrid w:val="0"/>
                      <w:color w:val="000000" w:themeColor="text1"/>
                      <w:kern w:val="2"/>
                      <w:sz w:val="21"/>
                      <w:szCs w:val="21"/>
                      <w:u w:val="none"/>
                      <w:vertAlign w:val="baseline"/>
                      <w:lang w:val="en-US" w:eastAsia="zh-CN" w:bidi="ar-SA"/>
                      <w14:textFill>
                        <w14:solidFill>
                          <w14:schemeClr w14:val="tx1"/>
                        </w14:solidFill>
                      </w14:textFill>
                    </w:rPr>
                  </w:pPr>
                  <w:r>
                    <w:rPr>
                      <w:rFonts w:hint="eastAsia"/>
                      <w:color w:val="000000" w:themeColor="text1"/>
                      <w:kern w:val="0"/>
                      <w:szCs w:val="21"/>
                      <w:u w:val="none"/>
                      <w:lang w:bidi="ar"/>
                      <w14:textFill>
                        <w14:solidFill>
                          <w14:schemeClr w14:val="tx1"/>
                        </w14:solidFill>
                      </w14:textFill>
                    </w:rPr>
                    <w:t>1</w:t>
                  </w:r>
                </w:p>
              </w:tc>
              <w:tc>
                <w:tcPr>
                  <w:tcW w:w="1349" w:type="dxa"/>
                  <w:vMerge w:val="continue"/>
                  <w:vAlign w:val="center"/>
                </w:tcPr>
                <w:p w14:paraId="1605DB6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dxa"/>
                  <w:vMerge w:val="continue"/>
                  <w:vAlign w:val="center"/>
                </w:tcPr>
                <w:p w14:paraId="5589DC34">
                  <w:pPr>
                    <w:jc w:val="center"/>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p>
              </w:tc>
            </w:tr>
            <w:tr w14:paraId="47D5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88" w:type="dxa"/>
                  <w:shd w:val="clear" w:color="auto" w:fill="auto"/>
                  <w:vAlign w:val="center"/>
                </w:tcPr>
                <w:p w14:paraId="7D38652D">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1312" w:type="dxa"/>
                  <w:shd w:val="clear" w:color="auto" w:fill="auto"/>
                  <w:vAlign w:val="center"/>
                </w:tcPr>
                <w:p w14:paraId="63B80D9A">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熔炉</w:t>
                  </w:r>
                </w:p>
              </w:tc>
              <w:tc>
                <w:tcPr>
                  <w:tcW w:w="1591" w:type="dxa"/>
                  <w:shd w:val="clear" w:color="auto" w:fill="auto"/>
                  <w:vAlign w:val="center"/>
                </w:tcPr>
                <w:p w14:paraId="54454F1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功率为30kw</w:t>
                  </w:r>
                </w:p>
              </w:tc>
              <w:tc>
                <w:tcPr>
                  <w:tcW w:w="1262" w:type="dxa"/>
                  <w:shd w:val="clear" w:color="auto" w:fill="auto"/>
                  <w:vAlign w:val="center"/>
                </w:tcPr>
                <w:p w14:paraId="2470026C">
                  <w:pPr>
                    <w:keepNext w:val="0"/>
                    <w:keepLines w:val="0"/>
                    <w:pageBreakBefore w:val="0"/>
                    <w:widowControl w:val="0"/>
                    <w:kinsoku/>
                    <w:wordWrap w:val="0"/>
                    <w:overflowPunct w:val="0"/>
                    <w:topLinePunct/>
                    <w:autoSpaceDE w:val="0"/>
                    <w:autoSpaceDN w:val="0"/>
                    <w:bidi w:val="0"/>
                    <w:adjustRightInd w:val="0"/>
                    <w:snapToGrid/>
                    <w:spacing w:line="240" w:lineRule="auto"/>
                    <w:jc w:val="center"/>
                    <w:textAlignment w:val="auto"/>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5</w:t>
                  </w:r>
                </w:p>
              </w:tc>
              <w:tc>
                <w:tcPr>
                  <w:tcW w:w="1349" w:type="dxa"/>
                  <w:shd w:val="clear" w:color="auto" w:fill="auto"/>
                  <w:vAlign w:val="center"/>
                </w:tcPr>
                <w:p w14:paraId="41AC0143">
                  <w:pPr>
                    <w:keepNext w:val="0"/>
                    <w:keepLines w:val="0"/>
                    <w:pageBreakBefore w:val="0"/>
                    <w:widowControl w:val="0"/>
                    <w:kinsoku/>
                    <w:wordWrap w:val="0"/>
                    <w:overflowPunct w:val="0"/>
                    <w:topLinePunct/>
                    <w:autoSpaceDE w:val="0"/>
                    <w:autoSpaceDN w:val="0"/>
                    <w:bidi w:val="0"/>
                    <w:adjustRightInd w:val="0"/>
                    <w:snapToGrid/>
                    <w:spacing w:line="240" w:lineRule="auto"/>
                    <w:jc w:val="center"/>
                    <w:textAlignment w:val="auto"/>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燃液化石油气</w:t>
                  </w:r>
                </w:p>
              </w:tc>
              <w:tc>
                <w:tcPr>
                  <w:tcW w:w="1171" w:type="dxa"/>
                  <w:vAlign w:val="center"/>
                </w:tcPr>
                <w:p w14:paraId="578BDB20">
                  <w:pPr>
                    <w:pStyle w:val="42"/>
                    <w:tabs>
                      <w:tab w:val="left" w:pos="180"/>
                      <w:tab w:val="clear" w:pos="0"/>
                      <w:tab w:val="clear" w:pos="360"/>
                      <w:tab w:val="clear" w:pos="540"/>
                      <w:tab w:val="clear" w:pos="567"/>
                    </w:tabs>
                    <w:ind w:left="0" w:leftChars="0" w:firstLine="0" w:firstLineChars="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熔融</w:t>
                  </w:r>
                </w:p>
              </w:tc>
            </w:tr>
            <w:tr w14:paraId="3CEF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660D686E">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1312" w:type="dxa"/>
                  <w:shd w:val="clear" w:color="auto" w:fill="auto"/>
                  <w:vAlign w:val="top"/>
                </w:tcPr>
                <w:p w14:paraId="4C2406CF">
                  <w:pPr>
                    <w:spacing w:line="240" w:lineRule="auto"/>
                    <w:jc w:val="center"/>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抛光机</w:t>
                  </w:r>
                </w:p>
              </w:tc>
              <w:tc>
                <w:tcPr>
                  <w:tcW w:w="1591" w:type="dxa"/>
                  <w:shd w:val="clear" w:color="auto" w:fill="auto"/>
                  <w:vAlign w:val="top"/>
                </w:tcPr>
                <w:p w14:paraId="50E4622B">
                  <w:pPr>
                    <w:keepNext w:val="0"/>
                    <w:keepLines w:val="0"/>
                    <w:pageBreakBefore w:val="0"/>
                    <w:widowControl w:val="0"/>
                    <w:kinsoku/>
                    <w:bidi w:val="0"/>
                    <w:snapToGrid/>
                    <w:spacing w:line="240" w:lineRule="auto"/>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一台2个工位</w:t>
                  </w:r>
                </w:p>
              </w:tc>
              <w:tc>
                <w:tcPr>
                  <w:tcW w:w="1262" w:type="dxa"/>
                  <w:shd w:val="clear" w:color="auto" w:fill="auto"/>
                  <w:vAlign w:val="center"/>
                </w:tcPr>
                <w:p w14:paraId="4E40A6F7">
                  <w:pPr>
                    <w:keepNext w:val="0"/>
                    <w:keepLines w:val="0"/>
                    <w:pageBreakBefore w:val="0"/>
                    <w:widowControl w:val="0"/>
                    <w:kinsoku/>
                    <w:wordWrap w:val="0"/>
                    <w:overflowPunct w:val="0"/>
                    <w:topLinePunct/>
                    <w:autoSpaceDE w:val="0"/>
                    <w:autoSpaceDN w:val="0"/>
                    <w:bidi w:val="0"/>
                    <w:adjustRightInd w:val="0"/>
                    <w:snapToGrid/>
                    <w:spacing w:line="240" w:lineRule="auto"/>
                    <w:jc w:val="center"/>
                    <w:textAlignment w:val="auto"/>
                    <w:rPr>
                      <w:rFonts w:hint="default" w:ascii="Times New Roman" w:hAnsi="Times New Roman" w:eastAsia="宋体" w:cs="Times New Roman"/>
                      <w:b w:val="0"/>
                      <w:bCs w:val="0"/>
                      <w:snapToGrid w:val="0"/>
                      <w:color w:val="000000" w:themeColor="text1"/>
                      <w:kern w:val="2"/>
                      <w:sz w:val="21"/>
                      <w:szCs w:val="21"/>
                      <w:highlight w:val="yellow"/>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t>2</w:t>
                  </w:r>
                </w:p>
              </w:tc>
              <w:tc>
                <w:tcPr>
                  <w:tcW w:w="1349" w:type="dxa"/>
                  <w:shd w:val="clear" w:color="auto" w:fill="auto"/>
                  <w:vAlign w:val="center"/>
                </w:tcPr>
                <w:p w14:paraId="0334CD95">
                  <w:pPr>
                    <w:keepNext w:val="0"/>
                    <w:keepLines w:val="0"/>
                    <w:pageBreakBefore w:val="0"/>
                    <w:widowControl w:val="0"/>
                    <w:kinsoku/>
                    <w:wordWrap w:val="0"/>
                    <w:overflowPunct w:val="0"/>
                    <w:topLinePunct/>
                    <w:autoSpaceDE w:val="0"/>
                    <w:autoSpaceDN w:val="0"/>
                    <w:bidi w:val="0"/>
                    <w:adjustRightInd w:val="0"/>
                    <w:snapToGrid/>
                    <w:spacing w:line="240" w:lineRule="auto"/>
                    <w:jc w:val="center"/>
                    <w:textAlignment w:val="auto"/>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7C24230B">
                  <w:pPr>
                    <w:keepNext w:val="0"/>
                    <w:keepLines w:val="0"/>
                    <w:pageBreakBefore w:val="0"/>
                    <w:widowControl w:val="0"/>
                    <w:kinsoku/>
                    <w:wordWrap w:val="0"/>
                    <w:overflowPunct w:val="0"/>
                    <w:topLinePunct/>
                    <w:autoSpaceDE w:val="0"/>
                    <w:autoSpaceDN w:val="0"/>
                    <w:bidi w:val="0"/>
                    <w:adjustRightInd w:val="0"/>
                    <w:snapToGrid/>
                    <w:spacing w:line="240" w:lineRule="auto"/>
                    <w:jc w:val="center"/>
                    <w:textAlignment w:val="auto"/>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抛光</w:t>
                  </w:r>
                </w:p>
              </w:tc>
            </w:tr>
            <w:tr w14:paraId="19C7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63788399">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c>
                <w:tcPr>
                  <w:tcW w:w="1312" w:type="dxa"/>
                  <w:shd w:val="clear" w:color="auto" w:fill="auto"/>
                  <w:vAlign w:val="center"/>
                </w:tcPr>
                <w:p w14:paraId="31F14F80">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冷却塔</w:t>
                  </w:r>
                </w:p>
              </w:tc>
              <w:tc>
                <w:tcPr>
                  <w:tcW w:w="1591" w:type="dxa"/>
                  <w:shd w:val="clear" w:color="auto" w:fill="auto"/>
                  <w:vAlign w:val="center"/>
                </w:tcPr>
                <w:p w14:paraId="31437A1F">
                  <w:pPr>
                    <w:keepNext w:val="0"/>
                    <w:keepLines w:val="0"/>
                    <w:pageBreakBefore w:val="0"/>
                    <w:widowControl w:val="0"/>
                    <w:kinsoku/>
                    <w:bidi w:val="0"/>
                    <w:snapToGrid/>
                    <w:spacing w:line="240" w:lineRule="auto"/>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olor w:val="000000" w:themeColor="text1"/>
                      <w14:textFill>
                        <w14:solidFill>
                          <w14:schemeClr w14:val="tx1"/>
                        </w14:solidFill>
                      </w14:textFill>
                    </w:rPr>
                    <w:t>配备3.5m³水箱</w:t>
                  </w:r>
                </w:p>
              </w:tc>
              <w:tc>
                <w:tcPr>
                  <w:tcW w:w="1262" w:type="dxa"/>
                  <w:shd w:val="clear" w:color="auto" w:fill="auto"/>
                  <w:vAlign w:val="center"/>
                </w:tcPr>
                <w:p w14:paraId="513E5911">
                  <w:pPr>
                    <w:keepNext w:val="0"/>
                    <w:keepLines w:val="0"/>
                    <w:pageBreakBefore w:val="0"/>
                    <w:widowControl w:val="0"/>
                    <w:kinsoku/>
                    <w:wordWrap w:val="0"/>
                    <w:overflowPunct w:val="0"/>
                    <w:topLinePunct/>
                    <w:autoSpaceDE w:val="0"/>
                    <w:autoSpaceDN w:val="0"/>
                    <w:bidi w:val="0"/>
                    <w:adjustRightInd w:val="0"/>
                    <w:snapToGrid/>
                    <w:spacing w:line="240" w:lineRule="auto"/>
                    <w:jc w:val="center"/>
                    <w:textAlignment w:val="auto"/>
                    <w:rPr>
                      <w:rFonts w:hint="default" w:ascii="Times New Roman" w:hAnsi="Times New Roman" w:eastAsia="宋体"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t>1</w:t>
                  </w:r>
                </w:p>
              </w:tc>
              <w:tc>
                <w:tcPr>
                  <w:tcW w:w="1349" w:type="dxa"/>
                  <w:shd w:val="clear" w:color="auto" w:fill="auto"/>
                  <w:vAlign w:val="center"/>
                </w:tcPr>
                <w:p w14:paraId="44DBD0B1">
                  <w:pPr>
                    <w:keepNext w:val="0"/>
                    <w:keepLines w:val="0"/>
                    <w:pageBreakBefore w:val="0"/>
                    <w:widowControl w:val="0"/>
                    <w:kinsoku/>
                    <w:wordWrap w:val="0"/>
                    <w:overflowPunct w:val="0"/>
                    <w:topLinePunct/>
                    <w:autoSpaceDE w:val="0"/>
                    <w:autoSpaceDN w:val="0"/>
                    <w:bidi w:val="0"/>
                    <w:adjustRightInd w:val="0"/>
                    <w:snapToGrid/>
                    <w:spacing w:line="240" w:lineRule="auto"/>
                    <w:jc w:val="center"/>
                    <w:textAlignment w:val="auto"/>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728D7096">
                  <w:pPr>
                    <w:keepNext w:val="0"/>
                    <w:keepLines w:val="0"/>
                    <w:pageBreakBefore w:val="0"/>
                    <w:widowControl w:val="0"/>
                    <w:kinsoku/>
                    <w:wordWrap w:val="0"/>
                    <w:overflowPunct w:val="0"/>
                    <w:topLinePunct/>
                    <w:autoSpaceDE w:val="0"/>
                    <w:autoSpaceDN w:val="0"/>
                    <w:bidi w:val="0"/>
                    <w:adjustRightInd w:val="0"/>
                    <w:snapToGrid/>
                    <w:spacing w:line="240" w:lineRule="auto"/>
                    <w:jc w:val="center"/>
                    <w:textAlignment w:val="auto"/>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辅助</w:t>
                  </w:r>
                </w:p>
              </w:tc>
            </w:tr>
            <w:tr w14:paraId="68B9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7B7E7061">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1312" w:type="dxa"/>
                  <w:vAlign w:val="center"/>
                </w:tcPr>
                <w:p w14:paraId="68F55782">
                  <w:pPr>
                    <w:widowControl/>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钻孔攻牙机</w:t>
                  </w:r>
                </w:p>
              </w:tc>
              <w:tc>
                <w:tcPr>
                  <w:tcW w:w="1591" w:type="dxa"/>
                  <w:vAlign w:val="center"/>
                </w:tcPr>
                <w:p w14:paraId="49361C63">
                  <w:pPr>
                    <w:widowControl/>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Y</w:t>
                  </w:r>
                  <w:r>
                    <w:rPr>
                      <w:color w:val="000000" w:themeColor="text1"/>
                      <w:kern w:val="0"/>
                      <w:szCs w:val="21"/>
                      <w:lang w:bidi="ar"/>
                      <w14:textFill>
                        <w14:solidFill>
                          <w14:schemeClr w14:val="tx1"/>
                        </w14:solidFill>
                      </w14:textFill>
                    </w:rPr>
                    <w:t>R6516</w:t>
                  </w:r>
                </w:p>
              </w:tc>
              <w:tc>
                <w:tcPr>
                  <w:tcW w:w="1262" w:type="dxa"/>
                  <w:vAlign w:val="center"/>
                </w:tcPr>
                <w:p w14:paraId="014A3AAF">
                  <w:pPr>
                    <w:widowControl/>
                    <w:jc w:val="center"/>
                    <w:rPr>
                      <w:rFonts w:hint="default" w:ascii="Times New Roman" w:hAnsi="Times New Roman" w:eastAsia="宋体"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4</w:t>
                  </w:r>
                </w:p>
              </w:tc>
              <w:tc>
                <w:tcPr>
                  <w:tcW w:w="1349" w:type="dxa"/>
                  <w:vAlign w:val="center"/>
                </w:tcPr>
                <w:p w14:paraId="6D7A1A61">
                  <w:pPr>
                    <w:widowControl/>
                    <w:jc w:val="center"/>
                    <w:rPr>
                      <w:rFonts w:hint="default"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6198C351">
                  <w:pPr>
                    <w:widowControl/>
                    <w:jc w:val="center"/>
                    <w:rPr>
                      <w:rFonts w:hint="default"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钻孔攻牙</w:t>
                  </w:r>
                </w:p>
              </w:tc>
            </w:tr>
            <w:tr w14:paraId="31E4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67CEF441">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w:t>
                  </w:r>
                </w:p>
              </w:tc>
              <w:tc>
                <w:tcPr>
                  <w:tcW w:w="1312" w:type="dxa"/>
                  <w:vAlign w:val="center"/>
                </w:tcPr>
                <w:p w14:paraId="16D3E1DF">
                  <w:pPr>
                    <w:widowControl/>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铣床</w:t>
                  </w:r>
                </w:p>
              </w:tc>
              <w:tc>
                <w:tcPr>
                  <w:tcW w:w="1591" w:type="dxa"/>
                  <w:vAlign w:val="center"/>
                </w:tcPr>
                <w:p w14:paraId="09D33884">
                  <w:pPr>
                    <w:widowControl/>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4号</w:t>
                  </w:r>
                  <w:r>
                    <w:rPr>
                      <w:color w:val="000000" w:themeColor="text1"/>
                      <w:kern w:val="0"/>
                      <w:szCs w:val="21"/>
                      <w:lang w:bidi="ar"/>
                      <w14:textFill>
                        <w14:solidFill>
                          <w14:schemeClr w14:val="tx1"/>
                        </w14:solidFill>
                      </w14:textFill>
                    </w:rPr>
                    <w:t>万能摇臂</w:t>
                  </w:r>
                </w:p>
              </w:tc>
              <w:tc>
                <w:tcPr>
                  <w:tcW w:w="1262" w:type="dxa"/>
                  <w:vAlign w:val="center"/>
                </w:tcPr>
                <w:p w14:paraId="23F55AA1">
                  <w:pPr>
                    <w:widowControl/>
                    <w:jc w:val="center"/>
                    <w:rPr>
                      <w:rFonts w:hint="default" w:ascii="Times New Roman" w:hAnsi="Times New Roman" w:eastAsia="宋体"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2</w:t>
                  </w:r>
                </w:p>
              </w:tc>
              <w:tc>
                <w:tcPr>
                  <w:tcW w:w="1349" w:type="dxa"/>
                  <w:vAlign w:val="center"/>
                </w:tcPr>
                <w:p w14:paraId="0105EB7B">
                  <w:pPr>
                    <w:widowControl/>
                    <w:jc w:val="center"/>
                    <w:rPr>
                      <w:rFonts w:hint="default"/>
                      <w:color w:val="000000" w:themeColor="text1"/>
                      <w:vertAlign w:val="baseline"/>
                      <w:lang w:val="en-US" w:eastAsia="zh-CN"/>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33F657FD">
                  <w:pPr>
                    <w:widowControl/>
                    <w:jc w:val="center"/>
                    <w:rPr>
                      <w:rFonts w:hint="default"/>
                      <w:color w:val="000000" w:themeColor="text1"/>
                      <w:vertAlign w:val="baseline"/>
                      <w:lang w:val="en-US" w:eastAsia="zh-CN"/>
                      <w14:textFill>
                        <w14:solidFill>
                          <w14:schemeClr w14:val="tx1"/>
                        </w14:solidFill>
                      </w14:textFill>
                    </w:rPr>
                  </w:pPr>
                  <w:r>
                    <w:rPr>
                      <w:rFonts w:hint="eastAsia"/>
                      <w:color w:val="000000" w:themeColor="text1"/>
                      <w:kern w:val="0"/>
                      <w:szCs w:val="21"/>
                      <w:lang w:bidi="ar"/>
                      <w14:textFill>
                        <w14:solidFill>
                          <w14:schemeClr w14:val="tx1"/>
                        </w14:solidFill>
                      </w14:textFill>
                    </w:rPr>
                    <w:t>机加工</w:t>
                  </w:r>
                </w:p>
              </w:tc>
            </w:tr>
            <w:tr w14:paraId="78BF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703A4AFE">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w:t>
                  </w:r>
                </w:p>
              </w:tc>
              <w:tc>
                <w:tcPr>
                  <w:tcW w:w="1312" w:type="dxa"/>
                  <w:vAlign w:val="center"/>
                </w:tcPr>
                <w:p w14:paraId="57D1F4C1">
                  <w:pPr>
                    <w:widowControl/>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火花机</w:t>
                  </w:r>
                </w:p>
              </w:tc>
              <w:tc>
                <w:tcPr>
                  <w:tcW w:w="1591" w:type="dxa"/>
                  <w:vAlign w:val="center"/>
                </w:tcPr>
                <w:p w14:paraId="472587B7">
                  <w:pPr>
                    <w:widowControl/>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精汇通4</w:t>
                  </w:r>
                  <w:r>
                    <w:rPr>
                      <w:color w:val="000000" w:themeColor="text1"/>
                      <w:kern w:val="0"/>
                      <w:szCs w:val="21"/>
                      <w:lang w:bidi="ar"/>
                      <w14:textFill>
                        <w14:solidFill>
                          <w14:schemeClr w14:val="tx1"/>
                        </w14:solidFill>
                      </w14:textFill>
                    </w:rPr>
                    <w:t>50</w:t>
                  </w:r>
                </w:p>
              </w:tc>
              <w:tc>
                <w:tcPr>
                  <w:tcW w:w="1262" w:type="dxa"/>
                  <w:vAlign w:val="center"/>
                </w:tcPr>
                <w:p w14:paraId="0F6F10D5">
                  <w:pPr>
                    <w:widowControl/>
                    <w:jc w:val="center"/>
                    <w:rPr>
                      <w:rFonts w:hint="default" w:ascii="Times New Roman" w:hAnsi="Times New Roman" w:eastAsia="宋体"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1</w:t>
                  </w:r>
                </w:p>
              </w:tc>
              <w:tc>
                <w:tcPr>
                  <w:tcW w:w="1349" w:type="dxa"/>
                  <w:vAlign w:val="center"/>
                </w:tcPr>
                <w:p w14:paraId="5456A56A">
                  <w:pPr>
                    <w:widowControl/>
                    <w:jc w:val="center"/>
                    <w:rPr>
                      <w:rFonts w:hint="default"/>
                      <w:color w:val="000000" w:themeColor="text1"/>
                      <w:vertAlign w:val="baseline"/>
                      <w:lang w:val="en-US" w:eastAsia="zh-CN"/>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25672863">
                  <w:pPr>
                    <w:widowControl/>
                    <w:jc w:val="center"/>
                    <w:rPr>
                      <w:rFonts w:hint="default"/>
                      <w:color w:val="000000" w:themeColor="text1"/>
                      <w:vertAlign w:val="baseline"/>
                      <w:lang w:val="en-US" w:eastAsia="zh-CN"/>
                      <w14:textFill>
                        <w14:solidFill>
                          <w14:schemeClr w14:val="tx1"/>
                        </w14:solidFill>
                      </w14:textFill>
                    </w:rPr>
                  </w:pPr>
                  <w:r>
                    <w:rPr>
                      <w:rFonts w:hint="eastAsia"/>
                      <w:color w:val="000000" w:themeColor="text1"/>
                      <w:kern w:val="0"/>
                      <w:szCs w:val="21"/>
                      <w:lang w:bidi="ar"/>
                      <w14:textFill>
                        <w14:solidFill>
                          <w14:schemeClr w14:val="tx1"/>
                        </w14:solidFill>
                      </w14:textFill>
                    </w:rPr>
                    <w:t>机加工</w:t>
                  </w:r>
                </w:p>
              </w:tc>
            </w:tr>
            <w:tr w14:paraId="3868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5D2BEA66">
                  <w:pPr>
                    <w:keepNext w:val="0"/>
                    <w:keepLines w:val="0"/>
                    <w:pageBreakBefore w:val="0"/>
                    <w:widowControl w:val="0"/>
                    <w:kinsoku/>
                    <w:wordWrap/>
                    <w:overflowPunct/>
                    <w:topLinePunct w:val="0"/>
                    <w:autoSpaceDE/>
                    <w:autoSpaceDN/>
                    <w:bidi w:val="0"/>
                    <w:snapToGrid w:val="0"/>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w:t>
                  </w:r>
                </w:p>
              </w:tc>
              <w:tc>
                <w:tcPr>
                  <w:tcW w:w="1312" w:type="dxa"/>
                  <w:vAlign w:val="center"/>
                </w:tcPr>
                <w:p w14:paraId="308A8846">
                  <w:pPr>
                    <w:widowControl/>
                    <w:jc w:val="center"/>
                    <w:rPr>
                      <w:rFonts w:hint="default"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钻床</w:t>
                  </w:r>
                </w:p>
              </w:tc>
              <w:tc>
                <w:tcPr>
                  <w:tcW w:w="1591" w:type="dxa"/>
                  <w:vAlign w:val="center"/>
                </w:tcPr>
                <w:p w14:paraId="1630ED32">
                  <w:pPr>
                    <w:widowControl/>
                    <w:jc w:val="center"/>
                    <w:rPr>
                      <w:rFonts w:hint="eastAsia"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w:t>
                  </w:r>
                </w:p>
              </w:tc>
              <w:tc>
                <w:tcPr>
                  <w:tcW w:w="1262" w:type="dxa"/>
                  <w:vAlign w:val="center"/>
                </w:tcPr>
                <w:p w14:paraId="1EF2EB04">
                  <w:pPr>
                    <w:widowControl/>
                    <w:jc w:val="center"/>
                    <w:rPr>
                      <w:rFonts w:hint="eastAsia"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1</w:t>
                  </w:r>
                </w:p>
              </w:tc>
              <w:tc>
                <w:tcPr>
                  <w:tcW w:w="1349" w:type="dxa"/>
                  <w:vAlign w:val="center"/>
                </w:tcPr>
                <w:p w14:paraId="3D112EB3">
                  <w:pPr>
                    <w:widowControl/>
                    <w:jc w:val="cente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28BF9FF3">
                  <w:pPr>
                    <w:widowControl/>
                    <w:jc w:val="center"/>
                    <w:rPr>
                      <w:rFonts w:hint="eastAsia"/>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机加工</w:t>
                  </w:r>
                </w:p>
              </w:tc>
            </w:tr>
            <w:tr w14:paraId="11116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37D75D3C">
                  <w:pPr>
                    <w:keepNext w:val="0"/>
                    <w:keepLines w:val="0"/>
                    <w:pageBreakBefore w:val="0"/>
                    <w:widowControl w:val="0"/>
                    <w:kinsoku/>
                    <w:wordWrap/>
                    <w:overflowPunct/>
                    <w:topLinePunct w:val="0"/>
                    <w:autoSpaceDE/>
                    <w:autoSpaceDN/>
                    <w:bidi w:val="0"/>
                    <w:snapToGrid w:val="0"/>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w:t>
                  </w:r>
                </w:p>
              </w:tc>
              <w:tc>
                <w:tcPr>
                  <w:tcW w:w="1312" w:type="dxa"/>
                  <w:vAlign w:val="center"/>
                </w:tcPr>
                <w:p w14:paraId="68E4340A">
                  <w:pPr>
                    <w:widowControl/>
                    <w:jc w:val="center"/>
                    <w:rPr>
                      <w:rFonts w:hint="eastAsia"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车床</w:t>
                  </w:r>
                </w:p>
              </w:tc>
              <w:tc>
                <w:tcPr>
                  <w:tcW w:w="1591" w:type="dxa"/>
                  <w:vAlign w:val="center"/>
                </w:tcPr>
                <w:p w14:paraId="5DA939B8">
                  <w:pPr>
                    <w:widowControl/>
                    <w:jc w:val="center"/>
                    <w:rPr>
                      <w:rFonts w:hint="eastAsia"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w:t>
                  </w:r>
                </w:p>
              </w:tc>
              <w:tc>
                <w:tcPr>
                  <w:tcW w:w="1262" w:type="dxa"/>
                  <w:vAlign w:val="center"/>
                </w:tcPr>
                <w:p w14:paraId="20EC4D35">
                  <w:pPr>
                    <w:widowControl/>
                    <w:jc w:val="center"/>
                    <w:rPr>
                      <w:rFonts w:hint="eastAsia"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1</w:t>
                  </w:r>
                </w:p>
              </w:tc>
              <w:tc>
                <w:tcPr>
                  <w:tcW w:w="1349" w:type="dxa"/>
                  <w:vAlign w:val="center"/>
                </w:tcPr>
                <w:p w14:paraId="10873FE0">
                  <w:pPr>
                    <w:widowControl/>
                    <w:jc w:val="cente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27FCB199">
                  <w:pPr>
                    <w:widowControl/>
                    <w:jc w:val="center"/>
                    <w:rPr>
                      <w:rFonts w:hint="eastAsia"/>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机加工</w:t>
                  </w:r>
                </w:p>
              </w:tc>
            </w:tr>
            <w:tr w14:paraId="427E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16D4F20B">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c>
                <w:tcPr>
                  <w:tcW w:w="1312" w:type="dxa"/>
                  <w:vAlign w:val="center"/>
                </w:tcPr>
                <w:p w14:paraId="460C94EB">
                  <w:pPr>
                    <w:widowControl/>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kern w:val="0"/>
                      <w:szCs w:val="21"/>
                      <w:lang w:bidi="ar"/>
                      <w14:textFill>
                        <w14:solidFill>
                          <w14:schemeClr w14:val="tx1"/>
                        </w14:solidFill>
                      </w14:textFill>
                    </w:rPr>
                    <w:t>滚</w:t>
                  </w:r>
                  <w:r>
                    <w:rPr>
                      <w:rFonts w:hint="eastAsia"/>
                      <w:color w:val="000000" w:themeColor="text1"/>
                      <w:kern w:val="0"/>
                      <w:szCs w:val="21"/>
                      <w:lang w:val="en-US" w:eastAsia="zh-CN" w:bidi="ar"/>
                      <w14:textFill>
                        <w14:solidFill>
                          <w14:schemeClr w14:val="tx1"/>
                        </w14:solidFill>
                      </w14:textFill>
                    </w:rPr>
                    <w:t>砂</w:t>
                  </w:r>
                  <w:r>
                    <w:rPr>
                      <w:color w:val="000000" w:themeColor="text1"/>
                      <w:kern w:val="0"/>
                      <w:szCs w:val="21"/>
                      <w:lang w:bidi="ar"/>
                      <w14:textFill>
                        <w14:solidFill>
                          <w14:schemeClr w14:val="tx1"/>
                        </w14:solidFill>
                      </w14:textFill>
                    </w:rPr>
                    <w:t>机</w:t>
                  </w:r>
                </w:p>
              </w:tc>
              <w:tc>
                <w:tcPr>
                  <w:tcW w:w="1591" w:type="dxa"/>
                  <w:vAlign w:val="center"/>
                </w:tcPr>
                <w:p w14:paraId="26504729">
                  <w:pPr>
                    <w:widowControl/>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Q</w:t>
                  </w:r>
                  <w:r>
                    <w:rPr>
                      <w:color w:val="000000" w:themeColor="text1"/>
                      <w:kern w:val="0"/>
                      <w:szCs w:val="21"/>
                      <w:lang w:bidi="ar"/>
                      <w14:textFill>
                        <w14:solidFill>
                          <w14:schemeClr w14:val="tx1"/>
                        </w14:solidFill>
                      </w14:textFill>
                    </w:rPr>
                    <w:t>326</w:t>
                  </w:r>
                </w:p>
              </w:tc>
              <w:tc>
                <w:tcPr>
                  <w:tcW w:w="1262" w:type="dxa"/>
                  <w:vAlign w:val="center"/>
                </w:tcPr>
                <w:p w14:paraId="60723369">
                  <w:pPr>
                    <w:widowControl/>
                    <w:jc w:val="center"/>
                    <w:rPr>
                      <w:rFonts w:hint="default" w:ascii="Times New Roman" w:hAnsi="Times New Roman" w:eastAsia="宋体"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1</w:t>
                  </w:r>
                </w:p>
              </w:tc>
              <w:tc>
                <w:tcPr>
                  <w:tcW w:w="1349" w:type="dxa"/>
                  <w:vAlign w:val="center"/>
                </w:tcPr>
                <w:p w14:paraId="13B3BE9C">
                  <w:pPr>
                    <w:widowControl/>
                    <w:jc w:val="center"/>
                    <w:rPr>
                      <w:rFonts w:hint="default"/>
                      <w:color w:val="000000" w:themeColor="text1"/>
                      <w:vertAlign w:val="baseline"/>
                      <w:lang w:val="en-US" w:eastAsia="zh-CN"/>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5CFFA95D">
                  <w:pPr>
                    <w:pStyle w:val="42"/>
                    <w:tabs>
                      <w:tab w:val="left" w:pos="180"/>
                      <w:tab w:val="clear" w:pos="0"/>
                      <w:tab w:val="clear" w:pos="360"/>
                      <w:tab w:val="clear" w:pos="540"/>
                      <w:tab w:val="clear" w:pos="567"/>
                    </w:tabs>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研磨</w:t>
                  </w:r>
                </w:p>
              </w:tc>
            </w:tr>
            <w:tr w14:paraId="3CB6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2203934B">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11</w:t>
                  </w:r>
                </w:p>
              </w:tc>
              <w:tc>
                <w:tcPr>
                  <w:tcW w:w="1312" w:type="dxa"/>
                  <w:vAlign w:val="center"/>
                </w:tcPr>
                <w:p w14:paraId="78ED1ADD">
                  <w:pPr>
                    <w:widowControl/>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kern w:val="0"/>
                      <w:szCs w:val="21"/>
                      <w:lang w:bidi="ar"/>
                      <w14:textFill>
                        <w14:solidFill>
                          <w14:schemeClr w14:val="tx1"/>
                        </w14:solidFill>
                      </w14:textFill>
                    </w:rPr>
                    <w:t>震动盘</w:t>
                  </w:r>
                </w:p>
              </w:tc>
              <w:tc>
                <w:tcPr>
                  <w:tcW w:w="1591" w:type="dxa"/>
                  <w:vAlign w:val="center"/>
                </w:tcPr>
                <w:p w14:paraId="12923185">
                  <w:pPr>
                    <w:widowControl/>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Z</w:t>
                  </w:r>
                  <w:r>
                    <w:rPr>
                      <w:color w:val="000000" w:themeColor="text1"/>
                      <w:kern w:val="0"/>
                      <w:szCs w:val="21"/>
                      <w:lang w:bidi="ar"/>
                      <w14:textFill>
                        <w14:solidFill>
                          <w14:schemeClr w14:val="tx1"/>
                        </w14:solidFill>
                      </w14:textFill>
                    </w:rPr>
                    <w:t>ML400</w:t>
                  </w:r>
                </w:p>
              </w:tc>
              <w:tc>
                <w:tcPr>
                  <w:tcW w:w="1262" w:type="dxa"/>
                  <w:vAlign w:val="center"/>
                </w:tcPr>
                <w:p w14:paraId="43633345">
                  <w:pPr>
                    <w:widowControl/>
                    <w:jc w:val="center"/>
                    <w:rPr>
                      <w:rFonts w:hint="default" w:ascii="Times New Roman" w:hAnsi="Times New Roman" w:eastAsia="宋体"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1</w:t>
                  </w:r>
                </w:p>
              </w:tc>
              <w:tc>
                <w:tcPr>
                  <w:tcW w:w="1349" w:type="dxa"/>
                  <w:vAlign w:val="center"/>
                </w:tcPr>
                <w:p w14:paraId="39E9B9CD">
                  <w:pPr>
                    <w:widowControl/>
                    <w:jc w:val="center"/>
                    <w:rPr>
                      <w:rFonts w:hint="default"/>
                      <w:color w:val="000000" w:themeColor="text1"/>
                      <w:vertAlign w:val="baseline"/>
                      <w:lang w:val="en-US" w:eastAsia="zh-CN"/>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48B01EDE">
                  <w:pPr>
                    <w:pStyle w:val="42"/>
                    <w:tabs>
                      <w:tab w:val="left" w:pos="180"/>
                      <w:tab w:val="clear" w:pos="0"/>
                      <w:tab w:val="clear" w:pos="360"/>
                      <w:tab w:val="clear" w:pos="540"/>
                      <w:tab w:val="clear" w:pos="567"/>
                    </w:tabs>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研磨</w:t>
                  </w:r>
                </w:p>
              </w:tc>
            </w:tr>
            <w:tr w14:paraId="3E78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01E2E1AB">
                  <w:pPr>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c>
                <w:tcPr>
                  <w:tcW w:w="1312" w:type="dxa"/>
                  <w:vAlign w:val="center"/>
                </w:tcPr>
                <w:p w14:paraId="19FE8269">
                  <w:pPr>
                    <w:widowControl/>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kern w:val="0"/>
                      <w:szCs w:val="21"/>
                      <w:lang w:bidi="ar"/>
                      <w14:textFill>
                        <w14:solidFill>
                          <w14:schemeClr w14:val="tx1"/>
                        </w14:solidFill>
                      </w14:textFill>
                    </w:rPr>
                    <w:t>磁力震光机</w:t>
                  </w:r>
                </w:p>
              </w:tc>
              <w:tc>
                <w:tcPr>
                  <w:tcW w:w="1591" w:type="dxa"/>
                  <w:vAlign w:val="center"/>
                </w:tcPr>
                <w:p w14:paraId="314901B8">
                  <w:pPr>
                    <w:widowControl/>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N</w:t>
                  </w:r>
                  <w:r>
                    <w:rPr>
                      <w:color w:val="000000" w:themeColor="text1"/>
                      <w:kern w:val="0"/>
                      <w:szCs w:val="21"/>
                      <w:lang w:bidi="ar"/>
                      <w14:textFill>
                        <w14:solidFill>
                          <w14:schemeClr w14:val="tx1"/>
                        </w14:solidFill>
                      </w14:textFill>
                    </w:rPr>
                    <w:t>9010</w:t>
                  </w:r>
                </w:p>
              </w:tc>
              <w:tc>
                <w:tcPr>
                  <w:tcW w:w="1262" w:type="dxa"/>
                  <w:vAlign w:val="center"/>
                </w:tcPr>
                <w:p w14:paraId="054F8698">
                  <w:pPr>
                    <w:widowControl/>
                    <w:jc w:val="center"/>
                    <w:rPr>
                      <w:rFonts w:hint="default" w:ascii="Times New Roman" w:hAnsi="Times New Roman" w:eastAsia="宋体"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1</w:t>
                  </w:r>
                </w:p>
              </w:tc>
              <w:tc>
                <w:tcPr>
                  <w:tcW w:w="1349" w:type="dxa"/>
                  <w:vAlign w:val="center"/>
                </w:tcPr>
                <w:p w14:paraId="787E1DEF">
                  <w:pPr>
                    <w:widowControl/>
                    <w:jc w:val="center"/>
                    <w:rPr>
                      <w:rFonts w:hint="default"/>
                      <w:color w:val="000000" w:themeColor="text1"/>
                      <w:vertAlign w:val="baseline"/>
                      <w:lang w:val="en-US" w:eastAsia="zh-CN"/>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0DCF977D">
                  <w:pPr>
                    <w:pStyle w:val="42"/>
                    <w:tabs>
                      <w:tab w:val="left" w:pos="180"/>
                      <w:tab w:val="clear" w:pos="0"/>
                      <w:tab w:val="clear" w:pos="360"/>
                      <w:tab w:val="clear" w:pos="540"/>
                      <w:tab w:val="clear" w:pos="567"/>
                    </w:tabs>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研磨</w:t>
                  </w:r>
                </w:p>
              </w:tc>
            </w:tr>
            <w:tr w14:paraId="60C5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705AB69D">
                  <w:pPr>
                    <w:keepNext w:val="0"/>
                    <w:keepLines w:val="0"/>
                    <w:pageBreakBefore w:val="0"/>
                    <w:widowControl w:val="0"/>
                    <w:kinsoku/>
                    <w:wordWrap/>
                    <w:overflowPunct/>
                    <w:topLinePunct w:val="0"/>
                    <w:autoSpaceDE/>
                    <w:autoSpaceDN/>
                    <w:bidi w:val="0"/>
                    <w:snapToGrid w:val="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13</w:t>
                  </w:r>
                </w:p>
              </w:tc>
              <w:tc>
                <w:tcPr>
                  <w:tcW w:w="1312" w:type="dxa"/>
                  <w:vAlign w:val="center"/>
                </w:tcPr>
                <w:p w14:paraId="1DFD89A6">
                  <w:pPr>
                    <w:widowControl/>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kern w:val="0"/>
                      <w:szCs w:val="21"/>
                      <w:lang w:bidi="ar"/>
                      <w14:textFill>
                        <w14:solidFill>
                          <w14:schemeClr w14:val="tx1"/>
                        </w14:solidFill>
                      </w14:textFill>
                    </w:rPr>
                    <w:t>空压机</w:t>
                  </w:r>
                </w:p>
              </w:tc>
              <w:tc>
                <w:tcPr>
                  <w:tcW w:w="1591" w:type="dxa"/>
                  <w:vAlign w:val="center"/>
                </w:tcPr>
                <w:p w14:paraId="3B5F3FBB">
                  <w:pPr>
                    <w:widowControl/>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3</w:t>
                  </w:r>
                  <w:r>
                    <w:rPr>
                      <w:color w:val="000000" w:themeColor="text1"/>
                      <w:kern w:val="0"/>
                      <w:szCs w:val="21"/>
                      <w:lang w:bidi="ar"/>
                      <w14:textFill>
                        <w14:solidFill>
                          <w14:schemeClr w14:val="tx1"/>
                        </w14:solidFill>
                      </w14:textFill>
                    </w:rPr>
                    <w:t>7P</w:t>
                  </w:r>
                </w:p>
              </w:tc>
              <w:tc>
                <w:tcPr>
                  <w:tcW w:w="1262" w:type="dxa"/>
                  <w:vAlign w:val="center"/>
                </w:tcPr>
                <w:p w14:paraId="54EA14CD">
                  <w:pPr>
                    <w:widowControl/>
                    <w:jc w:val="center"/>
                    <w:rPr>
                      <w:rFonts w:hint="default" w:ascii="Times New Roman" w:hAnsi="Times New Roman" w:eastAsia="宋体"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t>1</w:t>
                  </w:r>
                </w:p>
              </w:tc>
              <w:tc>
                <w:tcPr>
                  <w:tcW w:w="1349" w:type="dxa"/>
                  <w:vAlign w:val="center"/>
                </w:tcPr>
                <w:p w14:paraId="4A6A057C">
                  <w:pPr>
                    <w:widowControl/>
                    <w:jc w:val="center"/>
                    <w:rPr>
                      <w:rFonts w:hint="default"/>
                      <w:color w:val="000000" w:themeColor="text1"/>
                      <w:vertAlign w:val="baseline"/>
                      <w:lang w:val="en-US" w:eastAsia="zh-CN"/>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0D39E7FF">
                  <w:pPr>
                    <w:pStyle w:val="42"/>
                    <w:tabs>
                      <w:tab w:val="left" w:pos="180"/>
                      <w:tab w:val="clear" w:pos="0"/>
                      <w:tab w:val="clear" w:pos="360"/>
                      <w:tab w:val="clear" w:pos="540"/>
                      <w:tab w:val="clear" w:pos="567"/>
                    </w:tabs>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辅助</w:t>
                  </w:r>
                </w:p>
              </w:tc>
            </w:tr>
            <w:tr w14:paraId="65C4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shd w:val="clear" w:color="auto" w:fill="auto"/>
                  <w:vAlign w:val="center"/>
                </w:tcPr>
                <w:p w14:paraId="32C8234B">
                  <w:pPr>
                    <w:keepNext w:val="0"/>
                    <w:keepLines w:val="0"/>
                    <w:pageBreakBefore w:val="0"/>
                    <w:widowControl w:val="0"/>
                    <w:kinsoku/>
                    <w:wordWrap/>
                    <w:overflowPunct/>
                    <w:topLinePunct w:val="0"/>
                    <w:autoSpaceDE/>
                    <w:autoSpaceDN/>
                    <w:bidi w:val="0"/>
                    <w:snapToGrid w:val="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w:t>
                  </w:r>
                </w:p>
              </w:tc>
              <w:tc>
                <w:tcPr>
                  <w:tcW w:w="1312" w:type="dxa"/>
                  <w:vAlign w:val="center"/>
                </w:tcPr>
                <w:p w14:paraId="571F9B5F">
                  <w:pPr>
                    <w:widowControl/>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kern w:val="0"/>
                      <w:szCs w:val="21"/>
                      <w:lang w:bidi="ar"/>
                      <w14:textFill>
                        <w14:solidFill>
                          <w14:schemeClr w14:val="tx1"/>
                        </w14:solidFill>
                      </w14:textFill>
                    </w:rPr>
                    <w:t>空压机</w:t>
                  </w:r>
                </w:p>
              </w:tc>
              <w:tc>
                <w:tcPr>
                  <w:tcW w:w="1591" w:type="dxa"/>
                  <w:vAlign w:val="center"/>
                </w:tcPr>
                <w:p w14:paraId="1915E963">
                  <w:pPr>
                    <w:widowControl/>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2</w:t>
                  </w:r>
                  <w:r>
                    <w:rPr>
                      <w:color w:val="000000" w:themeColor="text1"/>
                      <w:kern w:val="0"/>
                      <w:szCs w:val="21"/>
                      <w:lang w:bidi="ar"/>
                      <w14:textFill>
                        <w14:solidFill>
                          <w14:schemeClr w14:val="tx1"/>
                        </w14:solidFill>
                      </w14:textFill>
                    </w:rPr>
                    <w:t>0P</w:t>
                  </w:r>
                </w:p>
              </w:tc>
              <w:tc>
                <w:tcPr>
                  <w:tcW w:w="1262" w:type="dxa"/>
                  <w:vAlign w:val="center"/>
                </w:tcPr>
                <w:p w14:paraId="56FCDA9D">
                  <w:pPr>
                    <w:keepNext w:val="0"/>
                    <w:keepLines w:val="0"/>
                    <w:pageBreakBefore w:val="0"/>
                    <w:widowControl w:val="0"/>
                    <w:kinsoku/>
                    <w:wordWrap w:val="0"/>
                    <w:overflowPunct w:val="0"/>
                    <w:topLinePunct/>
                    <w:autoSpaceDE w:val="0"/>
                    <w:autoSpaceDN w:val="0"/>
                    <w:bidi w:val="0"/>
                    <w:adjustRightInd w:val="0"/>
                    <w:snapToGrid/>
                    <w:spacing w:line="240" w:lineRule="auto"/>
                    <w:jc w:val="center"/>
                    <w:textAlignment w:val="auto"/>
                    <w:rPr>
                      <w:rFonts w:hint="default" w:ascii="Times New Roman" w:hAnsi="Times New Roman" w:eastAsia="宋体"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t>1</w:t>
                  </w:r>
                </w:p>
              </w:tc>
              <w:tc>
                <w:tcPr>
                  <w:tcW w:w="1349" w:type="dxa"/>
                  <w:vAlign w:val="center"/>
                </w:tcPr>
                <w:p w14:paraId="6B832CF4">
                  <w:pPr>
                    <w:keepNext w:val="0"/>
                    <w:keepLines w:val="0"/>
                    <w:pageBreakBefore w:val="0"/>
                    <w:widowControl w:val="0"/>
                    <w:kinsoku/>
                    <w:wordWrap/>
                    <w:overflowPunct/>
                    <w:topLinePunct w:val="0"/>
                    <w:bidi w:val="0"/>
                    <w:adjustRightInd/>
                    <w:snapToGrid/>
                    <w:jc w:val="center"/>
                    <w:textAlignment w:val="auto"/>
                    <w:rPr>
                      <w:rFonts w:hint="default"/>
                      <w:color w:val="000000" w:themeColor="text1"/>
                      <w:vertAlign w:val="baseline"/>
                      <w:lang w:val="en-US" w:eastAsia="zh-CN"/>
                      <w14:textFill>
                        <w14:solidFill>
                          <w14:schemeClr w14:val="tx1"/>
                        </w14:solidFill>
                      </w14:textFill>
                    </w:rPr>
                  </w:pPr>
                  <w:r>
                    <w:rPr>
                      <w:rFonts w:hint="eastAsia" w:cs="Times New Roman"/>
                      <w:b w:val="0"/>
                      <w:bCs w:val="0"/>
                      <w:snapToGrid w:val="0"/>
                      <w:color w:val="000000" w:themeColor="text1"/>
                      <w:kern w:val="2"/>
                      <w:sz w:val="21"/>
                      <w:szCs w:val="21"/>
                      <w:vertAlign w:val="baseline"/>
                      <w:lang w:val="en-US" w:eastAsia="zh-CN" w:bidi="ar-SA"/>
                      <w14:textFill>
                        <w14:solidFill>
                          <w14:schemeClr w14:val="tx1"/>
                        </w14:solidFill>
                      </w14:textFill>
                    </w:rPr>
                    <w:t>用电</w:t>
                  </w:r>
                </w:p>
              </w:tc>
              <w:tc>
                <w:tcPr>
                  <w:tcW w:w="1171" w:type="dxa"/>
                  <w:vAlign w:val="center"/>
                </w:tcPr>
                <w:p w14:paraId="6D91F7AD">
                  <w:pPr>
                    <w:pStyle w:val="42"/>
                    <w:tabs>
                      <w:tab w:val="left" w:pos="180"/>
                      <w:tab w:val="clear" w:pos="0"/>
                      <w:tab w:val="clear" w:pos="360"/>
                      <w:tab w:val="clear" w:pos="540"/>
                      <w:tab w:val="clear" w:pos="567"/>
                    </w:tabs>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辅助</w:t>
                  </w:r>
                </w:p>
              </w:tc>
            </w:tr>
            <w:tr w14:paraId="5016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3" w:type="dxa"/>
                  <w:gridSpan w:val="6"/>
                  <w:shd w:val="clear" w:color="auto" w:fill="auto"/>
                  <w:vAlign w:val="center"/>
                </w:tcPr>
                <w:p w14:paraId="02FF81F2">
                  <w:pPr>
                    <w:pStyle w:val="42"/>
                    <w:tabs>
                      <w:tab w:val="left" w:pos="180"/>
                      <w:tab w:val="clear" w:pos="0"/>
                      <w:tab w:val="clear" w:pos="360"/>
                      <w:tab w:val="clear" w:pos="540"/>
                      <w:tab w:val="clear" w:pos="567"/>
                    </w:tabs>
                    <w:rPr>
                      <w:rFonts w:hint="default"/>
                      <w:color w:val="000000" w:themeColor="text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2"/>
                      <w:sz w:val="21"/>
                      <w:szCs w:val="21"/>
                      <w:vertAlign w:val="baseline"/>
                      <w:lang w:val="en-US" w:eastAsia="zh-CN" w:bidi="ar-SA"/>
                      <w14:textFill>
                        <w14:solidFill>
                          <w14:schemeClr w14:val="tx1"/>
                        </w14:solidFill>
                      </w14:textFill>
                    </w:rPr>
                    <w:t>注：</w:t>
                  </w:r>
                  <w:r>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t>以上设备均不在《</w:t>
                  </w:r>
                  <w:r>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fldChar w:fldCharType="begin"/>
                  </w:r>
                  <w:r>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instrText xml:space="preserve"> HYPERLINK "file:///D:\\微信\\WeChat%20Files\\wxid_1606796060012\\com_caislabs_ebk\\K管理政策\\名录-目录-名单\\产业结构调整指导目录(发改令第40号2005-12-2).htm" \t "main" \o "产业结构调整指导目录(发改令第40号2005-12-2)" </w:instrText>
                  </w:r>
                  <w:r>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fldChar w:fldCharType="separate"/>
                  </w:r>
                  <w:r>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t>产业结构调整指导目录</w:t>
                  </w:r>
                  <w:r>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fldChar w:fldCharType="end"/>
                  </w:r>
                  <w:r>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t>（2024年本）》、《市场准入负面清单》（202</w:t>
                  </w:r>
                  <w:r>
                    <w:rPr>
                      <w:rFonts w:hint="eastAsia" w:cs="Times New Roman"/>
                      <w:b w:val="0"/>
                      <w:bCs w:val="0"/>
                      <w:color w:val="000000" w:themeColor="text1"/>
                      <w:kern w:val="0"/>
                      <w:sz w:val="21"/>
                      <w:szCs w:val="21"/>
                      <w:lang w:val="en-US" w:eastAsia="zh-CN" w:bidi="ar-SA"/>
                      <w14:textFill>
                        <w14:solidFill>
                          <w14:schemeClr w14:val="tx1"/>
                        </w14:solidFill>
                      </w14:textFill>
                    </w:rPr>
                    <w:t>5</w:t>
                  </w:r>
                  <w:r>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t>年版）、《产业发展与转移指导目录（2018年本）》的限制类和淘汰类中，符合国家、地方产业政策的相关要求。</w:t>
                  </w:r>
                </w:p>
              </w:tc>
            </w:tr>
          </w:tbl>
          <w:p w14:paraId="62BA9D00">
            <w:pPr>
              <w:pStyle w:val="48"/>
              <w:jc w:val="both"/>
              <w:rPr>
                <w:rFonts w:hint="default"/>
                <w:color w:val="000000" w:themeColor="text1"/>
                <w:lang w:val="en-US" w:eastAsia="zh-CN"/>
                <w14:textFill>
                  <w14:solidFill>
                    <w14:schemeClr w14:val="tx1"/>
                  </w14:solidFill>
                </w14:textFill>
              </w:rPr>
            </w:pPr>
          </w:p>
          <w:p w14:paraId="6DF12E8D">
            <w:pPr>
              <w:keepNext w:val="0"/>
              <w:keepLines w:val="0"/>
              <w:pageBreakBefore w:val="0"/>
              <w:widowControl w:val="0"/>
              <w:numPr>
                <w:ilvl w:val="0"/>
                <w:numId w:val="0"/>
              </w:numPr>
              <w:shd w:val="clear"/>
              <w:kinsoku/>
              <w:bidi w:val="0"/>
              <w:adjustRightInd w:val="0"/>
              <w:snapToGrid w:val="0"/>
              <w:spacing w:line="360" w:lineRule="auto"/>
              <w:ind w:right="0" w:firstLine="482" w:firstLineChars="200"/>
              <w:jc w:val="center"/>
              <w:rPr>
                <w:rFonts w:hint="default" w:ascii="Times New Roman" w:hAnsi="Times New Roman" w:eastAsia="宋体" w:cs="Times New Roman"/>
                <w:b/>
                <w:bCs/>
                <w:snapToGrid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kern w:val="2"/>
                <w:sz w:val="24"/>
                <w:szCs w:val="24"/>
                <w:highlight w:val="none"/>
                <w:lang w:val="en-US" w:eastAsia="zh-CN" w:bidi="ar-SA"/>
                <w14:textFill>
                  <w14:solidFill>
                    <w14:schemeClr w14:val="tx1"/>
                  </w14:solidFill>
                </w14:textFill>
              </w:rPr>
              <w:t>表</w:t>
            </w:r>
            <w:r>
              <w:rPr>
                <w:rFonts w:hint="eastAsia" w:cs="Times New Roman"/>
                <w:b/>
                <w:bCs/>
                <w:snapToGrid w:val="0"/>
                <w:color w:val="000000" w:themeColor="text1"/>
                <w:kern w:val="2"/>
                <w:sz w:val="24"/>
                <w:szCs w:val="24"/>
                <w:highlight w:val="none"/>
                <w:lang w:val="en-US" w:eastAsia="zh-CN" w:bidi="ar-SA"/>
                <w14:textFill>
                  <w14:solidFill>
                    <w14:schemeClr w14:val="tx1"/>
                  </w14:solidFill>
                </w14:textFill>
              </w:rPr>
              <w:t>8项目压铸</w:t>
            </w:r>
            <w:r>
              <w:rPr>
                <w:rFonts w:hint="default" w:ascii="Times New Roman" w:hAnsi="Times New Roman" w:eastAsia="宋体" w:cs="Times New Roman"/>
                <w:b/>
                <w:bCs/>
                <w:snapToGrid w:val="0"/>
                <w:color w:val="000000" w:themeColor="text1"/>
                <w:kern w:val="2"/>
                <w:sz w:val="24"/>
                <w:szCs w:val="24"/>
                <w:highlight w:val="none"/>
                <w:lang w:val="en-US" w:eastAsia="zh-CN" w:bidi="ar-SA"/>
                <w14:textFill>
                  <w14:solidFill>
                    <w14:schemeClr w14:val="tx1"/>
                  </w14:solidFill>
                </w14:textFill>
              </w:rPr>
              <w:t>机产能核算表</w:t>
            </w:r>
          </w:p>
          <w:tbl>
            <w:tblPr>
              <w:tblStyle w:val="89"/>
              <w:tblW w:w="4714" w:type="pct"/>
              <w:jc w:val="center"/>
              <w:tblBorders>
                <w:top w:val="single" w:color="000000" w:sz="4" w:space="0"/>
                <w:left w:val="none" w:color="auto" w:sz="0"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08"/>
              <w:gridCol w:w="1564"/>
              <w:gridCol w:w="848"/>
              <w:gridCol w:w="645"/>
              <w:gridCol w:w="1137"/>
              <w:gridCol w:w="1024"/>
              <w:gridCol w:w="1096"/>
              <w:gridCol w:w="1117"/>
            </w:tblGrid>
            <w:tr w14:paraId="0D795670">
              <w:tblPrEx>
                <w:tblBorders>
                  <w:top w:val="single" w:color="000000" w:sz="4" w:space="0"/>
                  <w:left w:val="none" w:color="auto" w:sz="0"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5" w:hRule="atLeast"/>
                <w:jc w:val="center"/>
              </w:trPr>
              <w:tc>
                <w:tcPr>
                  <w:tcW w:w="320" w:type="pct"/>
                  <w:tcBorders>
                    <w:left w:val="single" w:color="auto" w:sz="4" w:space="0"/>
                  </w:tcBorders>
                  <w:noWrap w:val="0"/>
                  <w:vAlign w:val="center"/>
                </w:tcPr>
                <w:p w14:paraId="6D9BE2F9">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b/>
                      <w:bCs/>
                      <w:color w:val="000000" w:themeColor="text1"/>
                      <w:spacing w:val="0"/>
                      <w:sz w:val="21"/>
                      <w:highlight w:val="none"/>
                      <w:lang w:val="en-US" w:eastAsia="zh-CN"/>
                      <w14:textFill>
                        <w14:solidFill>
                          <w14:schemeClr w14:val="tx1"/>
                        </w14:solidFill>
                      </w14:textFill>
                    </w:rPr>
                  </w:pPr>
                  <w:r>
                    <w:rPr>
                      <w:rFonts w:hint="eastAsia" w:ascii="Times New Roman" w:hAnsi="Times New Roman"/>
                      <w:b/>
                      <w:bCs/>
                      <w:color w:val="000000" w:themeColor="text1"/>
                      <w:spacing w:val="0"/>
                      <w:sz w:val="21"/>
                      <w:highlight w:val="none"/>
                      <w:lang w:val="en-US" w:eastAsia="zh-CN"/>
                      <w14:textFill>
                        <w14:solidFill>
                          <w14:schemeClr w14:val="tx1"/>
                        </w14:solidFill>
                      </w14:textFill>
                    </w:rPr>
                    <w:t>序号</w:t>
                  </w:r>
                </w:p>
              </w:tc>
              <w:tc>
                <w:tcPr>
                  <w:tcW w:w="985" w:type="pct"/>
                  <w:tcBorders>
                    <w:left w:val="single" w:color="auto" w:sz="4" w:space="0"/>
                  </w:tcBorders>
                  <w:noWrap w:val="0"/>
                  <w:vAlign w:val="center"/>
                </w:tcPr>
                <w:p w14:paraId="743C4C86">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b/>
                      <w:bCs/>
                      <w:color w:val="000000" w:themeColor="text1"/>
                      <w:spacing w:val="0"/>
                      <w:sz w:val="21"/>
                      <w:highlight w:val="none"/>
                      <w14:textFill>
                        <w14:solidFill>
                          <w14:schemeClr w14:val="tx1"/>
                        </w14:solidFill>
                      </w14:textFill>
                    </w:rPr>
                  </w:pPr>
                  <w:r>
                    <w:rPr>
                      <w:rFonts w:ascii="Times New Roman" w:hAnsi="Times New Roman" w:eastAsia="宋体"/>
                      <w:b/>
                      <w:bCs/>
                      <w:color w:val="000000" w:themeColor="text1"/>
                      <w:spacing w:val="0"/>
                      <w:sz w:val="21"/>
                      <w:highlight w:val="none"/>
                      <w14:textFill>
                        <w14:solidFill>
                          <w14:schemeClr w14:val="tx1"/>
                        </w14:solidFill>
                      </w14:textFill>
                    </w:rPr>
                    <w:t>设备名称</w:t>
                  </w:r>
                </w:p>
              </w:tc>
              <w:tc>
                <w:tcPr>
                  <w:tcW w:w="534" w:type="pct"/>
                  <w:noWrap w:val="0"/>
                  <w:vAlign w:val="center"/>
                </w:tcPr>
                <w:p w14:paraId="1C3D83B8">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b/>
                      <w:bCs/>
                      <w:color w:val="000000" w:themeColor="text1"/>
                      <w:spacing w:val="0"/>
                      <w:sz w:val="21"/>
                      <w:highlight w:val="none"/>
                      <w14:textFill>
                        <w14:solidFill>
                          <w14:schemeClr w14:val="tx1"/>
                        </w14:solidFill>
                      </w14:textFill>
                    </w:rPr>
                  </w:pPr>
                  <w:r>
                    <w:rPr>
                      <w:rFonts w:ascii="Times New Roman" w:hAnsi="Times New Roman" w:eastAsia="宋体"/>
                      <w:b/>
                      <w:bCs/>
                      <w:color w:val="000000" w:themeColor="text1"/>
                      <w:spacing w:val="0"/>
                      <w:sz w:val="21"/>
                      <w:highlight w:val="none"/>
                      <w14:textFill>
                        <w14:solidFill>
                          <w14:schemeClr w14:val="tx1"/>
                        </w14:solidFill>
                      </w14:textFill>
                    </w:rPr>
                    <w:t>型号</w:t>
                  </w:r>
                </w:p>
              </w:tc>
              <w:tc>
                <w:tcPr>
                  <w:tcW w:w="406" w:type="pct"/>
                  <w:noWrap w:val="0"/>
                  <w:vAlign w:val="center"/>
                </w:tcPr>
                <w:p w14:paraId="0CB4EBAD">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b/>
                      <w:bCs/>
                      <w:color w:val="000000" w:themeColor="text1"/>
                      <w:spacing w:val="0"/>
                      <w:sz w:val="21"/>
                      <w:highlight w:val="none"/>
                      <w14:textFill>
                        <w14:solidFill>
                          <w14:schemeClr w14:val="tx1"/>
                        </w14:solidFill>
                      </w14:textFill>
                    </w:rPr>
                  </w:pPr>
                  <w:r>
                    <w:rPr>
                      <w:rFonts w:ascii="Times New Roman" w:hAnsi="Times New Roman" w:eastAsia="宋体"/>
                      <w:b/>
                      <w:bCs/>
                      <w:color w:val="000000" w:themeColor="text1"/>
                      <w:spacing w:val="0"/>
                      <w:sz w:val="21"/>
                      <w:highlight w:val="none"/>
                      <w14:textFill>
                        <w14:solidFill>
                          <w14:schemeClr w14:val="tx1"/>
                        </w14:solidFill>
                      </w14:textFill>
                    </w:rPr>
                    <w:t>数量</w:t>
                  </w:r>
                </w:p>
                <w:p w14:paraId="39CDB15E">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b/>
                      <w:bCs/>
                      <w:color w:val="000000" w:themeColor="text1"/>
                      <w:spacing w:val="0"/>
                      <w:sz w:val="21"/>
                      <w:highlight w:val="none"/>
                      <w:lang w:eastAsia="zh-CN"/>
                      <w14:textFill>
                        <w14:solidFill>
                          <w14:schemeClr w14:val="tx1"/>
                        </w14:solidFill>
                      </w14:textFill>
                    </w:rPr>
                  </w:pPr>
                  <w:r>
                    <w:rPr>
                      <w:rFonts w:hint="eastAsia" w:ascii="Times New Roman" w:hAnsi="Times New Roman"/>
                      <w:b/>
                      <w:bCs/>
                      <w:color w:val="000000" w:themeColor="text1"/>
                      <w:spacing w:val="0"/>
                      <w:sz w:val="21"/>
                      <w:highlight w:val="none"/>
                      <w:lang w:eastAsia="zh-CN"/>
                      <w14:textFill>
                        <w14:solidFill>
                          <w14:schemeClr w14:val="tx1"/>
                        </w14:solidFill>
                      </w14:textFill>
                    </w:rPr>
                    <w:t>（</w:t>
                  </w:r>
                  <w:r>
                    <w:rPr>
                      <w:rFonts w:hint="eastAsia" w:ascii="Times New Roman" w:hAnsi="Times New Roman"/>
                      <w:b/>
                      <w:bCs/>
                      <w:color w:val="000000" w:themeColor="text1"/>
                      <w:spacing w:val="0"/>
                      <w:sz w:val="21"/>
                      <w:highlight w:val="none"/>
                      <w:lang w:val="en-US" w:eastAsia="zh-CN"/>
                      <w14:textFill>
                        <w14:solidFill>
                          <w14:schemeClr w14:val="tx1"/>
                        </w14:solidFill>
                      </w14:textFill>
                    </w:rPr>
                    <w:t>台</w:t>
                  </w:r>
                  <w:r>
                    <w:rPr>
                      <w:rFonts w:hint="eastAsia" w:ascii="Times New Roman" w:hAnsi="Times New Roman"/>
                      <w:b/>
                      <w:bCs/>
                      <w:color w:val="000000" w:themeColor="text1"/>
                      <w:spacing w:val="0"/>
                      <w:sz w:val="21"/>
                      <w:highlight w:val="none"/>
                      <w:lang w:eastAsia="zh-CN"/>
                      <w14:textFill>
                        <w14:solidFill>
                          <w14:schemeClr w14:val="tx1"/>
                        </w14:solidFill>
                      </w14:textFill>
                    </w:rPr>
                    <w:t>）</w:t>
                  </w:r>
                </w:p>
              </w:tc>
              <w:tc>
                <w:tcPr>
                  <w:tcW w:w="716" w:type="pct"/>
                  <w:noWrap w:val="0"/>
                  <w:vAlign w:val="center"/>
                </w:tcPr>
                <w:p w14:paraId="05E0166C">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b/>
                      <w:bCs/>
                      <w:color w:val="000000" w:themeColor="text1"/>
                      <w:sz w:val="21"/>
                      <w:szCs w:val="21"/>
                      <w:highlight w:val="none"/>
                      <w14:textFill>
                        <w14:solidFill>
                          <w14:schemeClr w14:val="tx1"/>
                        </w14:solidFill>
                      </w14:textFill>
                    </w:rPr>
                  </w:pPr>
                  <w:r>
                    <w:rPr>
                      <w:rFonts w:ascii="Times New Roman" w:hAnsi="Times New Roman" w:eastAsia="宋体"/>
                      <w:b/>
                      <w:bCs/>
                      <w:color w:val="000000" w:themeColor="text1"/>
                      <w:spacing w:val="0"/>
                      <w:sz w:val="21"/>
                      <w:szCs w:val="21"/>
                      <w:highlight w:val="none"/>
                      <w14:textFill>
                        <w14:solidFill>
                          <w14:schemeClr w14:val="tx1"/>
                        </w14:solidFill>
                      </w14:textFill>
                    </w:rPr>
                    <w:t>单台</w:t>
                  </w:r>
                  <w:r>
                    <w:rPr>
                      <w:rFonts w:hint="eastAsia" w:ascii="Times New Roman" w:hAnsi="Times New Roman"/>
                      <w:b/>
                      <w:bCs/>
                      <w:color w:val="000000" w:themeColor="text1"/>
                      <w:spacing w:val="0"/>
                      <w:sz w:val="21"/>
                      <w:szCs w:val="21"/>
                      <w:highlight w:val="none"/>
                      <w:lang w:val="en-US" w:eastAsia="zh-CN"/>
                      <w14:textFill>
                        <w14:solidFill>
                          <w14:schemeClr w14:val="tx1"/>
                        </w14:solidFill>
                      </w14:textFill>
                    </w:rPr>
                    <w:t>压铸</w:t>
                  </w:r>
                  <w:r>
                    <w:rPr>
                      <w:rFonts w:ascii="Times New Roman" w:hAnsi="Times New Roman" w:eastAsia="宋体"/>
                      <w:b/>
                      <w:bCs/>
                      <w:color w:val="000000" w:themeColor="text1"/>
                      <w:spacing w:val="0"/>
                      <w:w w:val="128"/>
                      <w:sz w:val="21"/>
                      <w:szCs w:val="21"/>
                      <w:highlight w:val="none"/>
                      <w14:textFill>
                        <w14:solidFill>
                          <w14:schemeClr w14:val="tx1"/>
                        </w14:solidFill>
                      </w14:textFill>
                    </w:rPr>
                    <w:t>量</w:t>
                  </w:r>
                </w:p>
                <w:p w14:paraId="179BCC22">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w:t>
                  </w:r>
                  <w:r>
                    <w:rPr>
                      <w:rFonts w:hint="eastAsia" w:ascii="Times New Roman" w:hAnsi="Times New Roman" w:eastAsia="宋体"/>
                      <w:b/>
                      <w:bCs/>
                      <w:color w:val="000000" w:themeColor="text1"/>
                      <w:spacing w:val="-3"/>
                      <w:sz w:val="21"/>
                      <w:szCs w:val="21"/>
                      <w:highlight w:val="none"/>
                      <w14:textFill>
                        <w14:solidFill>
                          <w14:schemeClr w14:val="tx1"/>
                        </w14:solidFill>
                      </w14:textFill>
                    </w:rPr>
                    <w:t>g/次</w:t>
                  </w:r>
                  <w:r>
                    <w:rPr>
                      <w:rFonts w:hint="eastAsia"/>
                      <w:b/>
                      <w:bCs/>
                      <w:color w:val="000000" w:themeColor="text1"/>
                      <w:sz w:val="21"/>
                      <w:szCs w:val="21"/>
                      <w:highlight w:val="none"/>
                      <w:lang w:eastAsia="zh-CN"/>
                      <w14:textFill>
                        <w14:solidFill>
                          <w14:schemeClr w14:val="tx1"/>
                        </w14:solidFill>
                      </w14:textFill>
                    </w:rPr>
                    <w:t>）</w:t>
                  </w:r>
                </w:p>
              </w:tc>
              <w:tc>
                <w:tcPr>
                  <w:tcW w:w="645" w:type="pct"/>
                  <w:noWrap w:val="0"/>
                  <w:vAlign w:val="center"/>
                </w:tcPr>
                <w:p w14:paraId="2EB03CD1">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b/>
                      <w:bCs/>
                      <w:color w:val="000000" w:themeColor="text1"/>
                      <w:spacing w:val="0"/>
                      <w:sz w:val="21"/>
                      <w:highlight w:val="none"/>
                      <w:lang w:eastAsia="zh-CN"/>
                      <w14:textFill>
                        <w14:solidFill>
                          <w14:schemeClr w14:val="tx1"/>
                        </w14:solidFill>
                      </w14:textFill>
                    </w:rPr>
                  </w:pPr>
                  <w:r>
                    <w:rPr>
                      <w:rFonts w:ascii="Times New Roman" w:hAnsi="Times New Roman" w:eastAsia="宋体"/>
                      <w:b/>
                      <w:bCs/>
                      <w:color w:val="000000" w:themeColor="text1"/>
                      <w:spacing w:val="0"/>
                      <w:sz w:val="21"/>
                      <w:highlight w:val="none"/>
                      <w14:textFill>
                        <w14:solidFill>
                          <w14:schemeClr w14:val="tx1"/>
                        </w14:solidFill>
                      </w14:textFill>
                    </w:rPr>
                    <w:t>单次</w:t>
                  </w:r>
                  <w:r>
                    <w:rPr>
                      <w:rFonts w:hint="eastAsia" w:ascii="Times New Roman" w:hAnsi="Times New Roman"/>
                      <w:b/>
                      <w:bCs/>
                      <w:color w:val="000000" w:themeColor="text1"/>
                      <w:spacing w:val="0"/>
                      <w:sz w:val="21"/>
                      <w:highlight w:val="none"/>
                      <w:lang w:val="en-US" w:eastAsia="zh-CN"/>
                      <w14:textFill>
                        <w14:solidFill>
                          <w14:schemeClr w14:val="tx1"/>
                        </w14:solidFill>
                      </w14:textFill>
                    </w:rPr>
                    <w:t>压铸</w:t>
                  </w:r>
                  <w:r>
                    <w:rPr>
                      <w:rFonts w:ascii="Times New Roman" w:hAnsi="Times New Roman" w:eastAsia="宋体"/>
                      <w:b/>
                      <w:bCs/>
                      <w:color w:val="000000" w:themeColor="text1"/>
                      <w:spacing w:val="0"/>
                      <w:sz w:val="21"/>
                      <w:highlight w:val="none"/>
                      <w14:textFill>
                        <w14:solidFill>
                          <w14:schemeClr w14:val="tx1"/>
                        </w14:solidFill>
                      </w14:textFill>
                    </w:rPr>
                    <w:t>成型时间</w:t>
                  </w:r>
                  <w:r>
                    <w:rPr>
                      <w:rFonts w:hint="eastAsia" w:ascii="Times New Roman" w:hAnsi="Times New Roman"/>
                      <w:b/>
                      <w:bCs/>
                      <w:color w:val="000000" w:themeColor="text1"/>
                      <w:spacing w:val="0"/>
                      <w:sz w:val="21"/>
                      <w:highlight w:val="none"/>
                      <w:lang w:eastAsia="zh-CN"/>
                      <w14:textFill>
                        <w14:solidFill>
                          <w14:schemeClr w14:val="tx1"/>
                        </w14:solidFill>
                      </w14:textFill>
                    </w:rPr>
                    <w:t>（</w:t>
                  </w:r>
                  <w:r>
                    <w:rPr>
                      <w:rFonts w:hint="eastAsia" w:ascii="Times New Roman" w:hAnsi="Times New Roman"/>
                      <w:b/>
                      <w:bCs/>
                      <w:color w:val="000000" w:themeColor="text1"/>
                      <w:spacing w:val="0"/>
                      <w:sz w:val="21"/>
                      <w:highlight w:val="none"/>
                      <w:lang w:val="en-US" w:eastAsia="zh-CN"/>
                      <w14:textFill>
                        <w14:solidFill>
                          <w14:schemeClr w14:val="tx1"/>
                        </w14:solidFill>
                      </w14:textFill>
                    </w:rPr>
                    <w:t>s</w:t>
                  </w:r>
                  <w:r>
                    <w:rPr>
                      <w:rFonts w:hint="eastAsia" w:ascii="Times New Roman" w:hAnsi="Times New Roman"/>
                      <w:b/>
                      <w:bCs/>
                      <w:color w:val="000000" w:themeColor="text1"/>
                      <w:spacing w:val="0"/>
                      <w:sz w:val="21"/>
                      <w:highlight w:val="none"/>
                      <w:lang w:eastAsia="zh-CN"/>
                      <w14:textFill>
                        <w14:solidFill>
                          <w14:schemeClr w14:val="tx1"/>
                        </w14:solidFill>
                      </w14:textFill>
                    </w:rPr>
                    <w:t>）</w:t>
                  </w:r>
                </w:p>
              </w:tc>
              <w:tc>
                <w:tcPr>
                  <w:tcW w:w="689" w:type="pct"/>
                  <w:noWrap w:val="0"/>
                  <w:vAlign w:val="center"/>
                </w:tcPr>
                <w:p w14:paraId="667C580B">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b/>
                      <w:bCs/>
                      <w:color w:val="000000" w:themeColor="text1"/>
                      <w:spacing w:val="0"/>
                      <w:sz w:val="21"/>
                      <w:highlight w:val="none"/>
                      <w14:textFill>
                        <w14:solidFill>
                          <w14:schemeClr w14:val="tx1"/>
                        </w14:solidFill>
                      </w14:textFill>
                    </w:rPr>
                  </w:pPr>
                  <w:r>
                    <w:rPr>
                      <w:rFonts w:ascii="Times New Roman" w:hAnsi="Times New Roman" w:eastAsia="宋体"/>
                      <w:b/>
                      <w:bCs/>
                      <w:color w:val="000000" w:themeColor="text1"/>
                      <w:spacing w:val="0"/>
                      <w:sz w:val="21"/>
                      <w:highlight w:val="none"/>
                      <w14:textFill>
                        <w14:solidFill>
                          <w14:schemeClr w14:val="tx1"/>
                        </w14:solidFill>
                      </w14:textFill>
                    </w:rPr>
                    <w:t>年作业</w:t>
                  </w:r>
                </w:p>
                <w:p w14:paraId="0CC14652">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b/>
                      <w:bCs/>
                      <w:color w:val="000000" w:themeColor="text1"/>
                      <w:spacing w:val="0"/>
                      <w:sz w:val="21"/>
                      <w:highlight w:val="none"/>
                      <w:lang w:val="en-US" w:eastAsia="zh-CN"/>
                      <w14:textFill>
                        <w14:solidFill>
                          <w14:schemeClr w14:val="tx1"/>
                        </w14:solidFill>
                      </w14:textFill>
                    </w:rPr>
                  </w:pPr>
                  <w:r>
                    <w:rPr>
                      <w:rFonts w:ascii="Times New Roman" w:hAnsi="Times New Roman" w:eastAsia="宋体"/>
                      <w:b/>
                      <w:bCs/>
                      <w:color w:val="000000" w:themeColor="text1"/>
                      <w:spacing w:val="0"/>
                      <w:sz w:val="21"/>
                      <w:highlight w:val="none"/>
                      <w14:textFill>
                        <w14:solidFill>
                          <w14:schemeClr w14:val="tx1"/>
                        </w14:solidFill>
                      </w14:textFill>
                    </w:rPr>
                    <w:t>时间</w:t>
                  </w:r>
                  <w:r>
                    <w:rPr>
                      <w:rFonts w:hint="eastAsia" w:ascii="Times New Roman" w:hAnsi="Times New Roman"/>
                      <w:b/>
                      <w:bCs/>
                      <w:color w:val="000000" w:themeColor="text1"/>
                      <w:spacing w:val="0"/>
                      <w:sz w:val="21"/>
                      <w:highlight w:val="none"/>
                      <w:lang w:val="en-US" w:eastAsia="zh-CN"/>
                      <w14:textFill>
                        <w14:solidFill>
                          <w14:schemeClr w14:val="tx1"/>
                        </w14:solidFill>
                      </w14:textFill>
                    </w:rPr>
                    <w:t>(h)</w:t>
                  </w:r>
                </w:p>
              </w:tc>
              <w:tc>
                <w:tcPr>
                  <w:tcW w:w="703" w:type="pct"/>
                  <w:noWrap w:val="0"/>
                  <w:vAlign w:val="center"/>
                </w:tcPr>
                <w:p w14:paraId="3B3EA31B">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b/>
                      <w:bCs/>
                      <w:color w:val="000000" w:themeColor="text1"/>
                      <w:spacing w:val="0"/>
                      <w:sz w:val="21"/>
                      <w:highlight w:val="none"/>
                      <w:lang w:val="en-US" w:eastAsia="zh-CN"/>
                      <w14:textFill>
                        <w14:solidFill>
                          <w14:schemeClr w14:val="tx1"/>
                        </w14:solidFill>
                      </w14:textFill>
                    </w:rPr>
                  </w:pPr>
                  <w:r>
                    <w:rPr>
                      <w:rFonts w:ascii="Times New Roman" w:hAnsi="Times New Roman" w:eastAsia="宋体"/>
                      <w:b/>
                      <w:bCs/>
                      <w:color w:val="000000" w:themeColor="text1"/>
                      <w:spacing w:val="0"/>
                      <w:sz w:val="21"/>
                      <w:highlight w:val="none"/>
                      <w14:textFill>
                        <w14:solidFill>
                          <w14:schemeClr w14:val="tx1"/>
                        </w14:solidFill>
                      </w14:textFill>
                    </w:rPr>
                    <w:t>年</w:t>
                  </w:r>
                  <w:r>
                    <w:rPr>
                      <w:rFonts w:hint="eastAsia" w:ascii="Times New Roman" w:hAnsi="Times New Roman"/>
                      <w:b/>
                      <w:bCs/>
                      <w:color w:val="000000" w:themeColor="text1"/>
                      <w:spacing w:val="0"/>
                      <w:sz w:val="21"/>
                      <w:highlight w:val="none"/>
                      <w:lang w:val="en-US" w:eastAsia="zh-CN"/>
                      <w14:textFill>
                        <w14:solidFill>
                          <w14:schemeClr w14:val="tx1"/>
                        </w14:solidFill>
                      </w14:textFill>
                    </w:rPr>
                    <w:t>产</w:t>
                  </w:r>
                  <w:r>
                    <w:rPr>
                      <w:rFonts w:ascii="Times New Roman" w:hAnsi="Times New Roman" w:eastAsia="宋体"/>
                      <w:b/>
                      <w:bCs/>
                      <w:color w:val="000000" w:themeColor="text1"/>
                      <w:spacing w:val="0"/>
                      <w:sz w:val="21"/>
                      <w:highlight w:val="none"/>
                      <w14:textFill>
                        <w14:solidFill>
                          <w14:schemeClr w14:val="tx1"/>
                        </w14:solidFill>
                      </w14:textFill>
                    </w:rPr>
                    <w:t>量</w:t>
                  </w:r>
                  <w:r>
                    <w:rPr>
                      <w:rFonts w:hint="eastAsia" w:ascii="Times New Roman" w:hAnsi="Times New Roman"/>
                      <w:b/>
                      <w:bCs/>
                      <w:color w:val="000000" w:themeColor="text1"/>
                      <w:spacing w:val="0"/>
                      <w:sz w:val="21"/>
                      <w:highlight w:val="none"/>
                      <w:lang w:val="en-US" w:eastAsia="zh-CN"/>
                      <w14:textFill>
                        <w14:solidFill>
                          <w14:schemeClr w14:val="tx1"/>
                        </w14:solidFill>
                      </w14:textFill>
                    </w:rPr>
                    <w:t>(t)</w:t>
                  </w:r>
                </w:p>
              </w:tc>
            </w:tr>
            <w:tr w14:paraId="4AB7993B">
              <w:tblPrEx>
                <w:tblBorders>
                  <w:top w:val="single" w:color="000000" w:sz="4" w:space="0"/>
                  <w:left w:val="none" w:color="auto" w:sz="0"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320" w:type="pct"/>
                  <w:tcBorders>
                    <w:left w:val="single" w:color="auto" w:sz="4" w:space="0"/>
                  </w:tcBorders>
                  <w:noWrap w:val="0"/>
                  <w:vAlign w:val="center"/>
                </w:tcPr>
                <w:p w14:paraId="3504EA75">
                  <w:pPr>
                    <w:pStyle w:val="75"/>
                    <w:keepNext w:val="0"/>
                    <w:keepLines w:val="0"/>
                    <w:pageBreakBefore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宋体"/>
                      <w:i w:val="0"/>
                      <w:iCs w:val="0"/>
                      <w:color w:val="000000" w:themeColor="text1"/>
                      <w:kern w:val="0"/>
                      <w:sz w:val="21"/>
                      <w:szCs w:val="20"/>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0"/>
                      <w:highlight w:val="none"/>
                      <w:u w:val="none"/>
                      <w:lang w:val="en-US" w:eastAsia="zh-CN" w:bidi="ar"/>
                      <w14:textFill>
                        <w14:solidFill>
                          <w14:schemeClr w14:val="tx1"/>
                        </w14:solidFill>
                      </w14:textFill>
                    </w:rPr>
                    <w:t>1</w:t>
                  </w:r>
                </w:p>
              </w:tc>
              <w:tc>
                <w:tcPr>
                  <w:tcW w:w="985" w:type="pct"/>
                  <w:tcBorders>
                    <w:left w:val="single" w:color="auto" w:sz="4" w:space="0"/>
                  </w:tcBorders>
                  <w:noWrap w:val="0"/>
                  <w:vAlign w:val="center"/>
                </w:tcPr>
                <w:p w14:paraId="31C25512">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Times New Roman" w:hAnsi="Times New Roman" w:eastAsia="宋体"/>
                      <w:b w:val="0"/>
                      <w:bCs w:val="0"/>
                      <w:color w:val="000000" w:themeColor="text1"/>
                      <w:spacing w:val="-2"/>
                      <w:sz w:val="21"/>
                      <w:highlight w:val="none"/>
                      <w14:textFill>
                        <w14:solidFill>
                          <w14:schemeClr w14:val="tx1"/>
                        </w14:solidFill>
                      </w14:textFill>
                    </w:rPr>
                  </w:pPr>
                  <w:r>
                    <w:rPr>
                      <w:rFonts w:ascii="Times New Roman" w:hAnsi="Times New Roman" w:eastAsia="宋体"/>
                      <w:color w:val="000000" w:themeColor="text1"/>
                      <w:spacing w:val="0"/>
                      <w:kern w:val="21"/>
                      <w:sz w:val="21"/>
                      <w:highlight w:val="none"/>
                      <w14:textFill>
                        <w14:solidFill>
                          <w14:schemeClr w14:val="tx1"/>
                        </w14:solidFill>
                      </w14:textFill>
                    </w:rPr>
                    <w:t>压铸机</w:t>
                  </w:r>
                </w:p>
              </w:tc>
              <w:tc>
                <w:tcPr>
                  <w:tcW w:w="534" w:type="pct"/>
                  <w:noWrap w:val="0"/>
                  <w:vAlign w:val="center"/>
                </w:tcPr>
                <w:p w14:paraId="6122884A">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Times New Roman" w:hAnsi="Times New Roman" w:eastAsia="宋体"/>
                      <w:b w:val="0"/>
                      <w:bCs w:val="0"/>
                      <w:color w:val="000000" w:themeColor="text1"/>
                      <w:spacing w:val="-3"/>
                      <w:sz w:val="21"/>
                      <w:highlight w:val="none"/>
                      <w:lang w:val="en-US" w:eastAsia="zh-CN"/>
                      <w14:textFill>
                        <w14:solidFill>
                          <w14:schemeClr w14:val="tx1"/>
                        </w14:solidFill>
                      </w14:textFill>
                    </w:rPr>
                  </w:pPr>
                  <w:r>
                    <w:rPr>
                      <w:rFonts w:ascii="Times New Roman" w:hAnsi="Times New Roman" w:eastAsia="宋体" w:cs="宋体"/>
                      <w:color w:val="000000" w:themeColor="text1"/>
                      <w:spacing w:val="0"/>
                      <w:kern w:val="21"/>
                      <w:sz w:val="21"/>
                      <w:highlight w:val="none"/>
                      <w:lang w:val="en-US" w:eastAsia="zh-CN"/>
                      <w14:textFill>
                        <w14:solidFill>
                          <w14:schemeClr w14:val="tx1"/>
                        </w14:solidFill>
                      </w14:textFill>
                    </w:rPr>
                    <w:t>160T</w:t>
                  </w:r>
                </w:p>
              </w:tc>
              <w:tc>
                <w:tcPr>
                  <w:tcW w:w="406" w:type="pct"/>
                  <w:noWrap w:val="0"/>
                  <w:vAlign w:val="center"/>
                </w:tcPr>
                <w:p w14:paraId="3FBC75AB">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Times New Roman" w:hAnsi="Times New Roman" w:eastAsia="宋体" w:cs="宋体"/>
                      <w:color w:val="000000" w:themeColor="text1"/>
                      <w:spacing w:val="-18"/>
                      <w:sz w:val="21"/>
                      <w:szCs w:val="22"/>
                      <w:highlight w:val="none"/>
                      <w:lang w:val="en-US" w:eastAsia="zh-CN"/>
                      <w14:textFill>
                        <w14:solidFill>
                          <w14:schemeClr w14:val="tx1"/>
                        </w14:solidFill>
                      </w14:textFill>
                    </w:rPr>
                  </w:pP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2</w:t>
                  </w:r>
                </w:p>
              </w:tc>
              <w:tc>
                <w:tcPr>
                  <w:tcW w:w="716" w:type="pct"/>
                  <w:shd w:val="clear" w:color="auto" w:fill="auto"/>
                  <w:noWrap w:val="0"/>
                  <w:vAlign w:val="center"/>
                </w:tcPr>
                <w:p w14:paraId="30284102">
                  <w:pPr>
                    <w:keepNext w:val="0"/>
                    <w:keepLines w:val="0"/>
                    <w:widowControl/>
                    <w:suppressLineNumbers w:val="0"/>
                    <w:jc w:val="center"/>
                    <w:textAlignment w:val="center"/>
                    <w:rPr>
                      <w:rFonts w:hint="eastAsia"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w:t>
                  </w:r>
                </w:p>
              </w:tc>
              <w:tc>
                <w:tcPr>
                  <w:tcW w:w="645" w:type="pct"/>
                  <w:shd w:val="clear" w:color="auto" w:fill="auto"/>
                  <w:noWrap w:val="0"/>
                  <w:vAlign w:val="center"/>
                </w:tcPr>
                <w:p w14:paraId="16EC2F51">
                  <w:pPr>
                    <w:keepNext w:val="0"/>
                    <w:keepLines w:val="0"/>
                    <w:widowControl/>
                    <w:suppressLineNumbers w:val="0"/>
                    <w:jc w:val="center"/>
                    <w:textAlignment w:val="cente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1094" w:type="dxa"/>
                  <w:noWrap w:val="0"/>
                  <w:vAlign w:val="center"/>
                </w:tcPr>
                <w:p w14:paraId="7D6914B7">
                  <w:pPr>
                    <w:keepNext w:val="0"/>
                    <w:keepLines w:val="0"/>
                    <w:widowControl/>
                    <w:suppressLineNumbers w:val="0"/>
                    <w:jc w:val="center"/>
                    <w:textAlignment w:val="center"/>
                    <w:rPr>
                      <w:rFonts w:hint="default" w:ascii="Times New Roman" w:hAnsi="Times New Roman" w:eastAsia="宋体"/>
                      <w:color w:val="000000" w:themeColor="text1"/>
                      <w:spacing w:val="-2"/>
                      <w:sz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2400</w:t>
                  </w:r>
                </w:p>
              </w:tc>
              <w:tc>
                <w:tcPr>
                  <w:tcW w:w="1116" w:type="dxa"/>
                  <w:noWrap w:val="0"/>
                  <w:vAlign w:val="center"/>
                </w:tcPr>
                <w:p w14:paraId="73ABE2DF">
                  <w:pPr>
                    <w:keepNext w:val="0"/>
                    <w:keepLines w:val="0"/>
                    <w:widowControl/>
                    <w:suppressLineNumbers w:val="0"/>
                    <w:jc w:val="center"/>
                    <w:textAlignment w:val="center"/>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69.12</w:t>
                  </w:r>
                </w:p>
              </w:tc>
            </w:tr>
            <w:tr w14:paraId="36988D21">
              <w:tblPrEx>
                <w:tblBorders>
                  <w:top w:val="single" w:color="000000" w:sz="4" w:space="0"/>
                  <w:left w:val="none" w:color="auto" w:sz="0"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jc w:val="center"/>
              </w:trPr>
              <w:tc>
                <w:tcPr>
                  <w:tcW w:w="320" w:type="pct"/>
                  <w:tcBorders>
                    <w:left w:val="single" w:color="auto" w:sz="4" w:space="0"/>
                  </w:tcBorders>
                  <w:noWrap w:val="0"/>
                  <w:vAlign w:val="center"/>
                </w:tcPr>
                <w:p w14:paraId="40685897">
                  <w:pPr>
                    <w:pStyle w:val="75"/>
                    <w:keepNext w:val="0"/>
                    <w:keepLines w:val="0"/>
                    <w:pageBreakBefore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宋体"/>
                      <w:i w:val="0"/>
                      <w:iCs w:val="0"/>
                      <w:color w:val="000000" w:themeColor="text1"/>
                      <w:kern w:val="0"/>
                      <w:sz w:val="21"/>
                      <w:szCs w:val="20"/>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0"/>
                      <w:highlight w:val="none"/>
                      <w:u w:val="none"/>
                      <w:lang w:val="en-US" w:eastAsia="zh-CN" w:bidi="ar"/>
                      <w14:textFill>
                        <w14:solidFill>
                          <w14:schemeClr w14:val="tx1"/>
                        </w14:solidFill>
                      </w14:textFill>
                    </w:rPr>
                    <w:t>2</w:t>
                  </w:r>
                </w:p>
              </w:tc>
              <w:tc>
                <w:tcPr>
                  <w:tcW w:w="985" w:type="pct"/>
                  <w:tcBorders>
                    <w:left w:val="single" w:color="auto" w:sz="4" w:space="0"/>
                  </w:tcBorders>
                  <w:noWrap w:val="0"/>
                  <w:vAlign w:val="center"/>
                </w:tcPr>
                <w:p w14:paraId="5C5CD60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b w:val="0"/>
                      <w:bCs w:val="0"/>
                      <w:color w:val="000000" w:themeColor="text1"/>
                      <w:spacing w:val="-2"/>
                      <w:sz w:val="21"/>
                      <w:highlight w:val="none"/>
                      <w14:textFill>
                        <w14:solidFill>
                          <w14:schemeClr w14:val="tx1"/>
                        </w14:solidFill>
                      </w14:textFill>
                    </w:rPr>
                  </w:pPr>
                  <w:r>
                    <w:rPr>
                      <w:rStyle w:val="94"/>
                      <w:rFonts w:hint="eastAsia" w:ascii="Times New Roman" w:hAnsi="Times New Roman" w:eastAsia="宋体"/>
                      <w:b w:val="0"/>
                      <w:bCs w:val="0"/>
                      <w:color w:val="000000" w:themeColor="text1"/>
                      <w:sz w:val="21"/>
                      <w:highlight w:val="none"/>
                      <w:lang w:val="en-US" w:eastAsia="zh-CN" w:bidi="ar"/>
                      <w14:textFill>
                        <w14:solidFill>
                          <w14:schemeClr w14:val="tx1"/>
                        </w14:solidFill>
                      </w14:textFill>
                    </w:rPr>
                    <w:t>压铸机</w:t>
                  </w:r>
                </w:p>
              </w:tc>
              <w:tc>
                <w:tcPr>
                  <w:tcW w:w="534" w:type="pct"/>
                  <w:noWrap w:val="0"/>
                  <w:vAlign w:val="center"/>
                </w:tcPr>
                <w:p w14:paraId="03255A59">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Times New Roman" w:hAnsi="Times New Roman" w:eastAsia="宋体"/>
                      <w:b w:val="0"/>
                      <w:bCs w:val="0"/>
                      <w:color w:val="000000" w:themeColor="text1"/>
                      <w:spacing w:val="-3"/>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pacing w:val="0"/>
                      <w:kern w:val="21"/>
                      <w:sz w:val="21"/>
                      <w:highlight w:val="none"/>
                      <w:lang w:val="en-US" w:eastAsia="zh-CN"/>
                      <w14:textFill>
                        <w14:solidFill>
                          <w14:schemeClr w14:val="tx1"/>
                        </w14:solidFill>
                      </w14:textFill>
                    </w:rPr>
                    <w:t>280</w:t>
                  </w:r>
                  <w:r>
                    <w:rPr>
                      <w:rFonts w:ascii="Times New Roman" w:hAnsi="Times New Roman" w:eastAsia="宋体" w:cs="宋体"/>
                      <w:color w:val="000000" w:themeColor="text1"/>
                      <w:spacing w:val="0"/>
                      <w:kern w:val="21"/>
                      <w:sz w:val="21"/>
                      <w:highlight w:val="none"/>
                      <w:lang w:val="en-US" w:eastAsia="zh-CN"/>
                      <w14:textFill>
                        <w14:solidFill>
                          <w14:schemeClr w14:val="tx1"/>
                        </w14:solidFill>
                      </w14:textFill>
                    </w:rPr>
                    <w:t>T</w:t>
                  </w:r>
                </w:p>
              </w:tc>
              <w:tc>
                <w:tcPr>
                  <w:tcW w:w="406" w:type="pct"/>
                  <w:noWrap w:val="0"/>
                  <w:vAlign w:val="center"/>
                </w:tcPr>
                <w:p w14:paraId="6D374C7C">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宋体"/>
                      <w:color w:val="000000" w:themeColor="text1"/>
                      <w:spacing w:val="-18"/>
                      <w:sz w:val="21"/>
                      <w:szCs w:val="22"/>
                      <w:highlight w:val="none"/>
                      <w:lang w:val="en-US" w:eastAsia="zh-CN"/>
                      <w14:textFill>
                        <w14:solidFill>
                          <w14:schemeClr w14:val="tx1"/>
                        </w14:solidFill>
                      </w14:textFill>
                    </w:rPr>
                  </w:pPr>
                  <w:r>
                    <w:rPr>
                      <w:rFonts w:hint="eastAsia" w:ascii="Times New Roman" w:hAnsi="Times New Roman"/>
                      <w:color w:val="000000" w:themeColor="text1"/>
                      <w:spacing w:val="0"/>
                      <w:kern w:val="21"/>
                      <w:sz w:val="21"/>
                      <w:highlight w:val="none"/>
                      <w:lang w:val="en-US" w:eastAsia="zh-CN"/>
                      <w14:textFill>
                        <w14:solidFill>
                          <w14:schemeClr w14:val="tx1"/>
                        </w14:solidFill>
                      </w14:textFill>
                    </w:rPr>
                    <w:t>1</w:t>
                  </w:r>
                </w:p>
              </w:tc>
              <w:tc>
                <w:tcPr>
                  <w:tcW w:w="716" w:type="pct"/>
                  <w:shd w:val="clear" w:color="auto" w:fill="auto"/>
                  <w:noWrap w:val="0"/>
                  <w:vAlign w:val="center"/>
                </w:tcPr>
                <w:p w14:paraId="2EBADA1C">
                  <w:pPr>
                    <w:keepNext w:val="0"/>
                    <w:keepLines w:val="0"/>
                    <w:widowControl/>
                    <w:suppressLineNumbers w:val="0"/>
                    <w:jc w:val="center"/>
                    <w:textAlignment w:val="center"/>
                    <w:rPr>
                      <w:rFonts w:hint="eastAsia"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w:t>
                  </w:r>
                </w:p>
              </w:tc>
              <w:tc>
                <w:tcPr>
                  <w:tcW w:w="645" w:type="pct"/>
                  <w:shd w:val="clear" w:color="auto" w:fill="auto"/>
                  <w:noWrap w:val="0"/>
                  <w:vAlign w:val="center"/>
                </w:tcPr>
                <w:p w14:paraId="7674536C">
                  <w:pPr>
                    <w:keepNext w:val="0"/>
                    <w:keepLines w:val="0"/>
                    <w:widowControl/>
                    <w:suppressLineNumbers w:val="0"/>
                    <w:jc w:val="center"/>
                    <w:textAlignment w:val="cente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094" w:type="dxa"/>
                  <w:noWrap w:val="0"/>
                  <w:vAlign w:val="center"/>
                </w:tcPr>
                <w:p w14:paraId="000CAE0E">
                  <w:pPr>
                    <w:keepNext w:val="0"/>
                    <w:keepLines w:val="0"/>
                    <w:widowControl/>
                    <w:suppressLineNumbers w:val="0"/>
                    <w:jc w:val="center"/>
                    <w:textAlignment w:val="center"/>
                    <w:rPr>
                      <w:rFonts w:ascii="Times New Roman" w:hAnsi="Times New Roman" w:eastAsia="宋体"/>
                      <w:color w:val="000000" w:themeColor="text1"/>
                      <w:spacing w:val="-2"/>
                      <w:sz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2400</w:t>
                  </w:r>
                </w:p>
              </w:tc>
              <w:tc>
                <w:tcPr>
                  <w:tcW w:w="1116" w:type="dxa"/>
                  <w:noWrap w:val="0"/>
                  <w:vAlign w:val="center"/>
                </w:tcPr>
                <w:p w14:paraId="66D8C1A8">
                  <w:pPr>
                    <w:keepNext w:val="0"/>
                    <w:keepLines w:val="0"/>
                    <w:widowControl/>
                    <w:suppressLineNumbers w:val="0"/>
                    <w:jc w:val="center"/>
                    <w:textAlignment w:val="center"/>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57.6</w:t>
                  </w:r>
                </w:p>
              </w:tc>
            </w:tr>
            <w:tr w14:paraId="32B7B2A7">
              <w:tblPrEx>
                <w:tblBorders>
                  <w:top w:val="single" w:color="000000" w:sz="4" w:space="0"/>
                  <w:left w:val="none" w:color="auto" w:sz="0"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jc w:val="center"/>
              </w:trPr>
              <w:tc>
                <w:tcPr>
                  <w:tcW w:w="320" w:type="pct"/>
                  <w:tcBorders>
                    <w:left w:val="single" w:color="auto" w:sz="4" w:space="0"/>
                  </w:tcBorders>
                  <w:noWrap w:val="0"/>
                  <w:vAlign w:val="center"/>
                </w:tcPr>
                <w:p w14:paraId="677BA0D6">
                  <w:pPr>
                    <w:pStyle w:val="75"/>
                    <w:keepNext w:val="0"/>
                    <w:keepLines w:val="0"/>
                    <w:pageBreakBefore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宋体"/>
                      <w:i w:val="0"/>
                      <w:iCs w:val="0"/>
                      <w:color w:val="000000" w:themeColor="text1"/>
                      <w:kern w:val="0"/>
                      <w:sz w:val="21"/>
                      <w:szCs w:val="20"/>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0"/>
                      <w:highlight w:val="none"/>
                      <w:u w:val="none"/>
                      <w:lang w:val="en-US" w:eastAsia="zh-CN" w:bidi="ar"/>
                      <w14:textFill>
                        <w14:solidFill>
                          <w14:schemeClr w14:val="tx1"/>
                        </w14:solidFill>
                      </w14:textFill>
                    </w:rPr>
                    <w:t>3</w:t>
                  </w:r>
                </w:p>
              </w:tc>
              <w:tc>
                <w:tcPr>
                  <w:tcW w:w="985" w:type="pct"/>
                  <w:tcBorders>
                    <w:left w:val="single" w:color="auto" w:sz="4" w:space="0"/>
                  </w:tcBorders>
                  <w:noWrap w:val="0"/>
                  <w:vAlign w:val="center"/>
                </w:tcPr>
                <w:p w14:paraId="32FE85C8">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Times New Roman" w:hAnsi="Times New Roman" w:eastAsia="宋体" w:cs="宋体"/>
                      <w:i w:val="0"/>
                      <w:iCs w:val="0"/>
                      <w:color w:val="000000" w:themeColor="text1"/>
                      <w:kern w:val="0"/>
                      <w:sz w:val="21"/>
                      <w:szCs w:val="20"/>
                      <w:highlight w:val="none"/>
                      <w:u w:val="none"/>
                      <w:lang w:val="en-US" w:eastAsia="zh-CN" w:bidi="ar"/>
                      <w14:textFill>
                        <w14:solidFill>
                          <w14:schemeClr w14:val="tx1"/>
                        </w14:solidFill>
                      </w14:textFill>
                    </w:rPr>
                  </w:pPr>
                  <w:r>
                    <w:rPr>
                      <w:rFonts w:ascii="Times New Roman" w:hAnsi="Times New Roman" w:eastAsia="宋体"/>
                      <w:color w:val="000000" w:themeColor="text1"/>
                      <w:spacing w:val="0"/>
                      <w:kern w:val="21"/>
                      <w:sz w:val="21"/>
                      <w:highlight w:val="none"/>
                      <w14:textFill>
                        <w14:solidFill>
                          <w14:schemeClr w14:val="tx1"/>
                        </w14:solidFill>
                      </w14:textFill>
                    </w:rPr>
                    <w:t>压铸机</w:t>
                  </w:r>
                </w:p>
              </w:tc>
              <w:tc>
                <w:tcPr>
                  <w:tcW w:w="534" w:type="pct"/>
                  <w:noWrap w:val="0"/>
                  <w:vAlign w:val="center"/>
                </w:tcPr>
                <w:p w14:paraId="563544A6">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Times New Roman" w:hAnsi="Times New Roman" w:eastAsia="宋体" w:cs="宋体"/>
                      <w:color w:val="000000" w:themeColor="text1"/>
                      <w:spacing w:val="0"/>
                      <w:kern w:val="2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pacing w:val="0"/>
                      <w:kern w:val="21"/>
                      <w:sz w:val="21"/>
                      <w:highlight w:val="none"/>
                      <w:lang w:val="en-US" w:eastAsia="zh-CN"/>
                      <w14:textFill>
                        <w14:solidFill>
                          <w14:schemeClr w14:val="tx1"/>
                        </w14:solidFill>
                      </w14:textFill>
                    </w:rPr>
                    <w:t>400</w:t>
                  </w:r>
                  <w:r>
                    <w:rPr>
                      <w:rFonts w:ascii="Times New Roman" w:hAnsi="Times New Roman" w:eastAsia="宋体" w:cs="宋体"/>
                      <w:color w:val="000000" w:themeColor="text1"/>
                      <w:spacing w:val="0"/>
                      <w:kern w:val="21"/>
                      <w:sz w:val="21"/>
                      <w:highlight w:val="none"/>
                      <w:lang w:val="en-US" w:eastAsia="zh-CN"/>
                      <w14:textFill>
                        <w14:solidFill>
                          <w14:schemeClr w14:val="tx1"/>
                        </w14:solidFill>
                      </w14:textFill>
                    </w:rPr>
                    <w:t>T</w:t>
                  </w:r>
                </w:p>
              </w:tc>
              <w:tc>
                <w:tcPr>
                  <w:tcW w:w="406" w:type="pct"/>
                  <w:noWrap w:val="0"/>
                  <w:vAlign w:val="center"/>
                </w:tcPr>
                <w:p w14:paraId="3DFD4686">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Times New Roman" w:hAnsi="Times New Roman" w:eastAsia="宋体" w:cs="宋体"/>
                      <w:color w:val="000000" w:themeColor="text1"/>
                      <w:spacing w:val="-18"/>
                      <w:sz w:val="21"/>
                      <w:szCs w:val="22"/>
                      <w:highlight w:val="none"/>
                      <w:lang w:val="en-US" w:eastAsia="zh-CN"/>
                      <w14:textFill>
                        <w14:solidFill>
                          <w14:schemeClr w14:val="tx1"/>
                        </w14:solidFill>
                      </w14:textFill>
                    </w:rPr>
                  </w:pPr>
                  <w:r>
                    <w:rPr>
                      <w:rFonts w:hint="eastAsia" w:ascii="Times New Roman" w:hAnsi="Times New Roman" w:eastAsia="宋体"/>
                      <w:color w:val="000000" w:themeColor="text1"/>
                      <w:spacing w:val="0"/>
                      <w:kern w:val="21"/>
                      <w:sz w:val="21"/>
                      <w:highlight w:val="none"/>
                      <w:lang w:val="en-US" w:eastAsia="zh-CN"/>
                      <w14:textFill>
                        <w14:solidFill>
                          <w14:schemeClr w14:val="tx1"/>
                        </w14:solidFill>
                      </w14:textFill>
                    </w:rPr>
                    <w:t>1</w:t>
                  </w:r>
                </w:p>
              </w:tc>
              <w:tc>
                <w:tcPr>
                  <w:tcW w:w="716" w:type="pct"/>
                  <w:shd w:val="clear" w:color="auto" w:fill="auto"/>
                  <w:noWrap w:val="0"/>
                  <w:vAlign w:val="center"/>
                </w:tcPr>
                <w:p w14:paraId="41470EFB">
                  <w:pPr>
                    <w:keepNext w:val="0"/>
                    <w:keepLines w:val="0"/>
                    <w:widowControl/>
                    <w:suppressLineNumbers w:val="0"/>
                    <w:jc w:val="center"/>
                    <w:textAlignment w:val="cente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800</w:t>
                  </w:r>
                </w:p>
              </w:tc>
              <w:tc>
                <w:tcPr>
                  <w:tcW w:w="645" w:type="pct"/>
                  <w:shd w:val="clear" w:color="auto" w:fill="auto"/>
                  <w:noWrap w:val="0"/>
                  <w:vAlign w:val="center"/>
                </w:tcPr>
                <w:p w14:paraId="38908892">
                  <w:pPr>
                    <w:keepNext w:val="0"/>
                    <w:keepLines w:val="0"/>
                    <w:widowControl/>
                    <w:suppressLineNumbers w:val="0"/>
                    <w:jc w:val="center"/>
                    <w:textAlignment w:val="cente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1094" w:type="dxa"/>
                  <w:noWrap w:val="0"/>
                  <w:vAlign w:val="center"/>
                </w:tcPr>
                <w:p w14:paraId="30D4A968">
                  <w:pPr>
                    <w:keepNext w:val="0"/>
                    <w:keepLines w:val="0"/>
                    <w:widowControl/>
                    <w:suppressLineNumbers w:val="0"/>
                    <w:jc w:val="center"/>
                    <w:textAlignment w:val="center"/>
                    <w:rPr>
                      <w:rFonts w:hint="eastAsia" w:ascii="Times New Roman" w:hAnsi="Times New Roman" w:eastAsia="宋体"/>
                      <w:color w:val="000000" w:themeColor="text1"/>
                      <w:spacing w:val="-2"/>
                      <w:sz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2400</w:t>
                  </w:r>
                </w:p>
              </w:tc>
              <w:tc>
                <w:tcPr>
                  <w:tcW w:w="1116" w:type="dxa"/>
                  <w:noWrap w:val="0"/>
                  <w:vAlign w:val="center"/>
                </w:tcPr>
                <w:p w14:paraId="79C9CA7D">
                  <w:pPr>
                    <w:keepNext w:val="0"/>
                    <w:keepLines w:val="0"/>
                    <w:widowControl/>
                    <w:suppressLineNumbers w:val="0"/>
                    <w:jc w:val="center"/>
                    <w:textAlignment w:val="center"/>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92.16</w:t>
                  </w:r>
                </w:p>
              </w:tc>
            </w:tr>
            <w:tr w14:paraId="719E9B30">
              <w:tblPrEx>
                <w:tblBorders>
                  <w:top w:val="single" w:color="000000" w:sz="4" w:space="0"/>
                  <w:left w:val="none" w:color="auto" w:sz="0"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jc w:val="center"/>
              </w:trPr>
              <w:tc>
                <w:tcPr>
                  <w:tcW w:w="320" w:type="pct"/>
                  <w:tcBorders>
                    <w:left w:val="single" w:color="auto" w:sz="4" w:space="0"/>
                  </w:tcBorders>
                  <w:noWrap w:val="0"/>
                  <w:vAlign w:val="center"/>
                </w:tcPr>
                <w:p w14:paraId="47CE5A9A">
                  <w:pPr>
                    <w:pStyle w:val="75"/>
                    <w:keepNext w:val="0"/>
                    <w:keepLines w:val="0"/>
                    <w:pageBreakBefore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宋体"/>
                      <w:i w:val="0"/>
                      <w:iCs w:val="0"/>
                      <w:color w:val="000000" w:themeColor="text1"/>
                      <w:kern w:val="0"/>
                      <w:sz w:val="21"/>
                      <w:szCs w:val="20"/>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0"/>
                      <w:highlight w:val="none"/>
                      <w:u w:val="none"/>
                      <w:lang w:val="en-US" w:eastAsia="zh-CN" w:bidi="ar"/>
                      <w14:textFill>
                        <w14:solidFill>
                          <w14:schemeClr w14:val="tx1"/>
                        </w14:solidFill>
                      </w14:textFill>
                    </w:rPr>
                    <w:t>4</w:t>
                  </w:r>
                </w:p>
              </w:tc>
              <w:tc>
                <w:tcPr>
                  <w:tcW w:w="985" w:type="pct"/>
                  <w:tcBorders>
                    <w:left w:val="single" w:color="auto" w:sz="4" w:space="0"/>
                  </w:tcBorders>
                  <w:noWrap w:val="0"/>
                  <w:vAlign w:val="center"/>
                </w:tcPr>
                <w:p w14:paraId="12FCEF05">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Times New Roman" w:hAnsi="Times New Roman" w:eastAsia="宋体" w:cs="宋体"/>
                      <w:i w:val="0"/>
                      <w:iCs w:val="0"/>
                      <w:color w:val="000000" w:themeColor="text1"/>
                      <w:kern w:val="0"/>
                      <w:sz w:val="21"/>
                      <w:szCs w:val="20"/>
                      <w:highlight w:val="none"/>
                      <w:u w:val="none"/>
                      <w:lang w:val="en-US" w:eastAsia="zh-CN" w:bidi="ar"/>
                      <w14:textFill>
                        <w14:solidFill>
                          <w14:schemeClr w14:val="tx1"/>
                        </w14:solidFill>
                      </w14:textFill>
                    </w:rPr>
                  </w:pPr>
                  <w:r>
                    <w:rPr>
                      <w:rFonts w:ascii="Times New Roman" w:hAnsi="Times New Roman" w:eastAsia="宋体"/>
                      <w:color w:val="000000" w:themeColor="text1"/>
                      <w:spacing w:val="0"/>
                      <w:kern w:val="21"/>
                      <w:sz w:val="21"/>
                      <w:highlight w:val="none"/>
                      <w14:textFill>
                        <w14:solidFill>
                          <w14:schemeClr w14:val="tx1"/>
                        </w14:solidFill>
                      </w14:textFill>
                    </w:rPr>
                    <w:t>压铸机</w:t>
                  </w:r>
                </w:p>
              </w:tc>
              <w:tc>
                <w:tcPr>
                  <w:tcW w:w="534" w:type="pct"/>
                  <w:noWrap w:val="0"/>
                  <w:vAlign w:val="center"/>
                </w:tcPr>
                <w:p w14:paraId="7F4779FC">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Times New Roman" w:hAnsi="Times New Roman" w:eastAsia="宋体" w:cs="宋体"/>
                      <w:color w:val="000000" w:themeColor="text1"/>
                      <w:spacing w:val="0"/>
                      <w:kern w:val="2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pacing w:val="0"/>
                      <w:kern w:val="21"/>
                      <w:sz w:val="21"/>
                      <w:highlight w:val="none"/>
                      <w:lang w:val="en-US" w:eastAsia="zh-CN"/>
                      <w14:textFill>
                        <w14:solidFill>
                          <w14:schemeClr w14:val="tx1"/>
                        </w14:solidFill>
                      </w14:textFill>
                    </w:rPr>
                    <w:t>7</w:t>
                  </w:r>
                  <w:r>
                    <w:rPr>
                      <w:rFonts w:ascii="Times New Roman" w:hAnsi="Times New Roman" w:eastAsia="宋体" w:cs="宋体"/>
                      <w:color w:val="000000" w:themeColor="text1"/>
                      <w:spacing w:val="0"/>
                      <w:kern w:val="21"/>
                      <w:sz w:val="21"/>
                      <w:highlight w:val="none"/>
                      <w:lang w:val="en-US" w:eastAsia="zh-CN"/>
                      <w14:textFill>
                        <w14:solidFill>
                          <w14:schemeClr w14:val="tx1"/>
                        </w14:solidFill>
                      </w14:textFill>
                    </w:rPr>
                    <w:t>00T</w:t>
                  </w:r>
                </w:p>
              </w:tc>
              <w:tc>
                <w:tcPr>
                  <w:tcW w:w="406" w:type="pct"/>
                  <w:noWrap w:val="0"/>
                  <w:vAlign w:val="center"/>
                </w:tcPr>
                <w:p w14:paraId="4AA18975">
                  <w:pPr>
                    <w:pStyle w:val="75"/>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Times New Roman" w:hAnsi="Times New Roman" w:eastAsia="宋体" w:cs="宋体"/>
                      <w:color w:val="000000" w:themeColor="text1"/>
                      <w:spacing w:val="-18"/>
                      <w:sz w:val="21"/>
                      <w:szCs w:val="22"/>
                      <w:highlight w:val="none"/>
                      <w:lang w:val="en-US" w:eastAsia="zh-CN"/>
                      <w14:textFill>
                        <w14:solidFill>
                          <w14:schemeClr w14:val="tx1"/>
                        </w14:solidFill>
                      </w14:textFill>
                    </w:rPr>
                  </w:pPr>
                  <w:r>
                    <w:rPr>
                      <w:rFonts w:ascii="Times New Roman" w:hAnsi="Times New Roman" w:eastAsia="宋体"/>
                      <w:color w:val="000000" w:themeColor="text1"/>
                      <w:spacing w:val="0"/>
                      <w:kern w:val="21"/>
                      <w:sz w:val="21"/>
                      <w:highlight w:val="none"/>
                      <w14:textFill>
                        <w14:solidFill>
                          <w14:schemeClr w14:val="tx1"/>
                        </w14:solidFill>
                      </w14:textFill>
                    </w:rPr>
                    <w:t>1</w:t>
                  </w:r>
                </w:p>
              </w:tc>
              <w:tc>
                <w:tcPr>
                  <w:tcW w:w="716" w:type="pct"/>
                  <w:shd w:val="clear" w:color="auto" w:fill="auto"/>
                  <w:noWrap w:val="0"/>
                  <w:vAlign w:val="center"/>
                </w:tcPr>
                <w:p w14:paraId="2D585F37">
                  <w:pPr>
                    <w:keepNext w:val="0"/>
                    <w:keepLines w:val="0"/>
                    <w:widowControl/>
                    <w:suppressLineNumbers w:val="0"/>
                    <w:jc w:val="center"/>
                    <w:textAlignment w:val="cente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w:t>
                  </w:r>
                </w:p>
              </w:tc>
              <w:tc>
                <w:tcPr>
                  <w:tcW w:w="645" w:type="pct"/>
                  <w:shd w:val="clear" w:color="auto" w:fill="auto"/>
                  <w:noWrap w:val="0"/>
                  <w:vAlign w:val="center"/>
                </w:tcPr>
                <w:p w14:paraId="55A055A0">
                  <w:pPr>
                    <w:keepNext w:val="0"/>
                    <w:keepLines w:val="0"/>
                    <w:widowControl/>
                    <w:suppressLineNumbers w:val="0"/>
                    <w:jc w:val="center"/>
                    <w:textAlignment w:val="cente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w:t>
                  </w:r>
                </w:p>
              </w:tc>
              <w:tc>
                <w:tcPr>
                  <w:tcW w:w="1094" w:type="dxa"/>
                  <w:noWrap w:val="0"/>
                  <w:vAlign w:val="center"/>
                </w:tcPr>
                <w:p w14:paraId="50C7A548">
                  <w:pPr>
                    <w:keepNext w:val="0"/>
                    <w:keepLines w:val="0"/>
                    <w:widowControl/>
                    <w:suppressLineNumbers w:val="0"/>
                    <w:jc w:val="center"/>
                    <w:textAlignment w:val="center"/>
                    <w:rPr>
                      <w:rFonts w:hint="eastAsia" w:ascii="Times New Roman" w:hAnsi="Times New Roman" w:eastAsia="宋体"/>
                      <w:color w:val="000000" w:themeColor="text1"/>
                      <w:spacing w:val="-2"/>
                      <w:sz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2400</w:t>
                  </w:r>
                </w:p>
              </w:tc>
              <w:tc>
                <w:tcPr>
                  <w:tcW w:w="1116" w:type="dxa"/>
                  <w:noWrap w:val="0"/>
                  <w:vAlign w:val="center"/>
                </w:tcPr>
                <w:p w14:paraId="2EF57FE3">
                  <w:pPr>
                    <w:keepNext w:val="0"/>
                    <w:keepLines w:val="0"/>
                    <w:widowControl/>
                    <w:suppressLineNumbers w:val="0"/>
                    <w:jc w:val="center"/>
                    <w:textAlignment w:val="center"/>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101.647</w:t>
                  </w:r>
                </w:p>
              </w:tc>
            </w:tr>
            <w:tr w14:paraId="5D5B0796">
              <w:tblPrEx>
                <w:tblBorders>
                  <w:top w:val="single" w:color="000000" w:sz="4" w:space="0"/>
                  <w:left w:val="none" w:color="auto" w:sz="0"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jc w:val="center"/>
              </w:trPr>
              <w:tc>
                <w:tcPr>
                  <w:tcW w:w="4296" w:type="pct"/>
                  <w:gridSpan w:val="7"/>
                  <w:tcBorders>
                    <w:left w:val="single" w:color="auto" w:sz="4" w:space="0"/>
                  </w:tcBorders>
                  <w:noWrap w:val="0"/>
                  <w:vAlign w:val="center"/>
                </w:tcPr>
                <w:p w14:paraId="535D832C">
                  <w:pPr>
                    <w:pStyle w:val="75"/>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olor w:val="000000" w:themeColor="text1"/>
                      <w:spacing w:val="-2"/>
                      <w:sz w:val="21"/>
                      <w:highlight w:val="none"/>
                      <w:lang w:val="en-US" w:eastAsia="zh-CN"/>
                      <w14:textFill>
                        <w14:solidFill>
                          <w14:schemeClr w14:val="tx1"/>
                        </w14:solidFill>
                      </w14:textFill>
                    </w:rPr>
                  </w:pPr>
                  <w:r>
                    <w:rPr>
                      <w:rFonts w:hint="eastAsia" w:ascii="Times New Roman" w:hAnsi="Times New Roman" w:eastAsia="宋体"/>
                      <w:color w:val="000000" w:themeColor="text1"/>
                      <w:spacing w:val="-2"/>
                      <w:sz w:val="21"/>
                      <w:highlight w:val="none"/>
                      <w:lang w:val="en-US" w:eastAsia="zh-CN"/>
                      <w14:textFill>
                        <w14:solidFill>
                          <w14:schemeClr w14:val="tx1"/>
                        </w14:solidFill>
                      </w14:textFill>
                    </w:rPr>
                    <w:t>合计</w:t>
                  </w:r>
                </w:p>
              </w:tc>
              <w:tc>
                <w:tcPr>
                  <w:tcW w:w="703" w:type="pct"/>
                  <w:noWrap w:val="0"/>
                  <w:vAlign w:val="center"/>
                </w:tcPr>
                <w:p w14:paraId="429CFBF8">
                  <w:pPr>
                    <w:keepNext w:val="0"/>
                    <w:keepLines w:val="0"/>
                    <w:pageBreakBefore w:val="0"/>
                    <w:widowControl/>
                    <w:suppressLineNumbers w:val="0"/>
                    <w:kinsoku/>
                    <w:wordWrap/>
                    <w:overflowPunct/>
                    <w:topLinePunct w:val="0"/>
                    <w:bidi w:val="0"/>
                    <w:adjustRightInd/>
                    <w:snapToGrid/>
                    <w:spacing w:line="240" w:lineRule="auto"/>
                    <w:jc w:val="center"/>
                    <w:textAlignment w:val="auto"/>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2"/>
                      <w:sz w:val="21"/>
                      <w:szCs w:val="21"/>
                      <w:highlight w:val="none"/>
                      <w:u w:val="none"/>
                      <w:lang w:val="en-US" w:eastAsia="zh-CN" w:bidi="ar-SA"/>
                      <w14:textFill>
                        <w14:solidFill>
                          <w14:schemeClr w14:val="tx1"/>
                        </w14:solidFill>
                      </w14:textFill>
                    </w:rPr>
                    <w:t>320.527</w:t>
                  </w:r>
                </w:p>
              </w:tc>
            </w:tr>
          </w:tbl>
          <w:p w14:paraId="07A74EA0">
            <w:pPr>
              <w:adjustRightInd w:val="0"/>
              <w:snapToGrid w:val="0"/>
              <w:spacing w:line="360" w:lineRule="auto"/>
              <w:jc w:val="left"/>
              <w:rPr>
                <w:rFonts w:ascii="Times New Roman" w:hAnsi="Times New Roman" w:eastAsia="宋体" w:cs="宋体"/>
                <w:color w:val="000000" w:themeColor="text1"/>
                <w:spacing w:val="-2"/>
                <w:sz w:val="21"/>
                <w:szCs w:val="21"/>
                <w:highlight w:val="none"/>
                <w14:textFill>
                  <w14:solidFill>
                    <w14:schemeClr w14:val="tx1"/>
                  </w14:solidFill>
                </w14:textFill>
              </w:rPr>
            </w:pPr>
            <w:r>
              <w:rPr>
                <w:rFonts w:ascii="Times New Roman" w:hAnsi="Times New Roman" w:eastAsia="宋体" w:cs="宋体"/>
                <w:color w:val="000000" w:themeColor="text1"/>
                <w:spacing w:val="-9"/>
                <w:sz w:val="21"/>
                <w:szCs w:val="21"/>
                <w:highlight w:val="none"/>
                <w14:textFill>
                  <w14:solidFill>
                    <w14:schemeClr w14:val="tx1"/>
                  </w14:solidFill>
                </w14:textFill>
              </w:rPr>
              <w:t>注：</w:t>
            </w:r>
            <w:r>
              <w:rPr>
                <w:rFonts w:hint="eastAsia" w:cs="宋体"/>
                <w:color w:val="000000" w:themeColor="text1"/>
                <w:spacing w:val="-9"/>
                <w:sz w:val="21"/>
                <w:szCs w:val="21"/>
                <w:highlight w:val="none"/>
                <w:lang w:val="en-US" w:eastAsia="zh-CN"/>
                <w14:textFill>
                  <w14:solidFill>
                    <w14:schemeClr w14:val="tx1"/>
                  </w14:solidFill>
                </w14:textFill>
              </w:rPr>
              <w:t>本项目</w:t>
            </w:r>
            <w:r>
              <w:rPr>
                <w:rFonts w:ascii="Times New Roman" w:hAnsi="Times New Roman" w:eastAsia="宋体" w:cs="宋体"/>
                <w:color w:val="000000" w:themeColor="text1"/>
                <w:spacing w:val="-9"/>
                <w:sz w:val="21"/>
                <w:szCs w:val="21"/>
                <w:highlight w:val="none"/>
                <w14:textFill>
                  <w14:solidFill>
                    <w14:schemeClr w14:val="tx1"/>
                  </w14:solidFill>
                </w14:textFill>
              </w:rPr>
              <w:t>压铸机理论设计</w:t>
            </w:r>
            <w:r>
              <w:rPr>
                <w:rFonts w:hint="eastAsia" w:cs="宋体"/>
                <w:color w:val="000000" w:themeColor="text1"/>
                <w:spacing w:val="-9"/>
                <w:sz w:val="21"/>
                <w:szCs w:val="21"/>
                <w:highlight w:val="none"/>
                <w:lang w:val="en-US" w:eastAsia="zh-CN"/>
                <w14:textFill>
                  <w14:solidFill>
                    <w14:schemeClr w14:val="tx1"/>
                  </w14:solidFill>
                </w14:textFill>
              </w:rPr>
              <w:t>产能</w:t>
            </w:r>
            <w:r>
              <w:rPr>
                <w:rFonts w:ascii="Times New Roman" w:hAnsi="Times New Roman" w:eastAsia="宋体" w:cs="宋体"/>
                <w:color w:val="000000" w:themeColor="text1"/>
                <w:spacing w:val="-9"/>
                <w:sz w:val="21"/>
                <w:szCs w:val="21"/>
                <w:highlight w:val="none"/>
                <w14:textFill>
                  <w14:solidFill>
                    <w14:schemeClr w14:val="tx1"/>
                  </w14:solidFill>
                </w14:textFill>
              </w:rPr>
              <w:t>为</w:t>
            </w:r>
            <w:r>
              <w:rPr>
                <w:rFonts w:hint="eastAsia" w:eastAsia="等线" w:cs="Times New Roman"/>
                <w:i w:val="0"/>
                <w:iCs w:val="0"/>
                <w:color w:val="000000" w:themeColor="text1"/>
                <w:kern w:val="0"/>
                <w:sz w:val="21"/>
                <w:szCs w:val="21"/>
                <w:highlight w:val="none"/>
                <w:u w:val="none"/>
                <w:lang w:val="en-US" w:eastAsia="zh-CN" w:bidi="ar"/>
                <w14:textFill>
                  <w14:solidFill>
                    <w14:schemeClr w14:val="tx1"/>
                  </w14:solidFill>
                </w14:textFill>
              </w:rPr>
              <w:t>320.527</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r>
              <w:rPr>
                <w:rFonts w:hint="eastAsia"/>
                <w:color w:val="000000" w:themeColor="text1"/>
                <w:spacing w:val="-2"/>
                <w:sz w:val="21"/>
                <w:szCs w:val="21"/>
                <w:highlight w:val="none"/>
                <w:lang w:eastAsia="zh-CN"/>
                <w14:textFill>
                  <w14:solidFill>
                    <w14:schemeClr w14:val="tx1"/>
                  </w14:solidFill>
                </w14:textFill>
              </w:rPr>
              <w:t>，</w:t>
            </w:r>
            <w:r>
              <w:rPr>
                <w:rFonts w:hint="eastAsia" w:cs="宋体"/>
                <w:color w:val="000000" w:themeColor="text1"/>
                <w:spacing w:val="-9"/>
                <w:sz w:val="21"/>
                <w:szCs w:val="21"/>
                <w:highlight w:val="none"/>
                <w:lang w:val="en-US" w:eastAsia="zh-CN"/>
                <w14:textFill>
                  <w14:solidFill>
                    <w14:schemeClr w14:val="tx1"/>
                  </w14:solidFill>
                </w14:textFill>
              </w:rPr>
              <w:t>申报产能</w:t>
            </w:r>
            <w:r>
              <w:rPr>
                <w:rFonts w:ascii="Times New Roman" w:hAnsi="Times New Roman" w:eastAsia="宋体" w:cs="宋体"/>
                <w:color w:val="000000" w:themeColor="text1"/>
                <w:spacing w:val="-2"/>
                <w:sz w:val="21"/>
                <w:szCs w:val="21"/>
                <w:highlight w:val="none"/>
                <w14:textFill>
                  <w14:solidFill>
                    <w14:schemeClr w14:val="tx1"/>
                  </w14:solidFill>
                </w14:textFill>
              </w:rPr>
              <w:t>为</w:t>
            </w:r>
            <w:r>
              <w:rPr>
                <w:rFonts w:hint="eastAsia" w:cs="宋体"/>
                <w:color w:val="000000" w:themeColor="text1"/>
                <w:spacing w:val="-2"/>
                <w:sz w:val="21"/>
                <w:szCs w:val="21"/>
                <w:highlight w:val="none"/>
                <w:lang w:val="en-US" w:eastAsia="zh-CN"/>
                <w14:textFill>
                  <w14:solidFill>
                    <w14:schemeClr w14:val="tx1"/>
                  </w14:solidFill>
                </w14:textFill>
              </w:rPr>
              <w:t>260</w:t>
            </w:r>
            <w:r>
              <w:rPr>
                <w:rFonts w:ascii="Times New Roman" w:hAnsi="Times New Roman" w:eastAsia="宋体" w:cs="宋体"/>
                <w:color w:val="000000" w:themeColor="text1"/>
                <w:spacing w:val="-2"/>
                <w:sz w:val="21"/>
                <w:szCs w:val="21"/>
                <w:highlight w:val="none"/>
                <w14:textFill>
                  <w14:solidFill>
                    <w14:schemeClr w14:val="tx1"/>
                  </w14:solidFill>
                </w14:textFill>
              </w:rPr>
              <w:t>t</w:t>
            </w:r>
            <w:r>
              <w:rPr>
                <w:rFonts w:hint="eastAsia" w:ascii="Times New Roman" w:hAnsi="Times New Roman" w:eastAsia="宋体" w:cs="宋体"/>
                <w:color w:val="000000" w:themeColor="text1"/>
                <w:spacing w:val="-2"/>
                <w:sz w:val="21"/>
                <w:szCs w:val="21"/>
                <w:highlight w:val="none"/>
                <w:lang w:eastAsia="zh-CN"/>
                <w14:textFill>
                  <w14:solidFill>
                    <w14:schemeClr w14:val="tx1"/>
                  </w14:solidFill>
                </w14:textFill>
              </w:rPr>
              <w:t>，</w:t>
            </w:r>
            <w:r>
              <w:rPr>
                <w:rFonts w:hint="eastAsia" w:cs="宋体"/>
                <w:color w:val="000000" w:themeColor="text1"/>
                <w:spacing w:val="-2"/>
                <w:sz w:val="21"/>
                <w:szCs w:val="21"/>
                <w:highlight w:val="none"/>
                <w:lang w:val="en-US" w:eastAsia="zh-CN"/>
                <w14:textFill>
                  <w14:solidFill>
                    <w14:schemeClr w14:val="tx1"/>
                  </w14:solidFill>
                </w14:textFill>
              </w:rPr>
              <w:t>申报产能</w:t>
            </w:r>
            <w:r>
              <w:rPr>
                <w:rFonts w:hint="eastAsia" w:ascii="Times New Roman" w:hAnsi="Times New Roman" w:eastAsia="宋体" w:cs="宋体"/>
                <w:color w:val="000000" w:themeColor="text1"/>
                <w:spacing w:val="-2"/>
                <w:sz w:val="21"/>
                <w:szCs w:val="21"/>
                <w:highlight w:val="none"/>
                <w:lang w:val="en-US" w:eastAsia="zh-CN"/>
                <w14:textFill>
                  <w14:solidFill>
                    <w14:schemeClr w14:val="tx1"/>
                  </w14:solidFill>
                </w14:textFill>
              </w:rPr>
              <w:t>占理论值的8</w:t>
            </w:r>
            <w:r>
              <w:rPr>
                <w:rFonts w:hint="eastAsia" w:cs="宋体"/>
                <w:color w:val="000000" w:themeColor="text1"/>
                <w:spacing w:val="-2"/>
                <w:sz w:val="21"/>
                <w:szCs w:val="21"/>
                <w:highlight w:val="none"/>
                <w:lang w:val="en-US" w:eastAsia="zh-CN"/>
                <w14:textFill>
                  <w14:solidFill>
                    <w14:schemeClr w14:val="tx1"/>
                  </w14:solidFill>
                </w14:textFill>
              </w:rPr>
              <w:t>1.12</w:t>
            </w:r>
            <w:r>
              <w:rPr>
                <w:rFonts w:hint="eastAsia" w:ascii="Times New Roman" w:hAnsi="Times New Roman" w:eastAsia="宋体" w:cs="宋体"/>
                <w:color w:val="000000" w:themeColor="text1"/>
                <w:spacing w:val="-2"/>
                <w:sz w:val="21"/>
                <w:szCs w:val="21"/>
                <w:highlight w:val="none"/>
                <w:lang w:val="en-US" w:eastAsia="zh-CN"/>
                <w14:textFill>
                  <w14:solidFill>
                    <w14:schemeClr w14:val="tx1"/>
                  </w14:solidFill>
                </w14:textFill>
              </w:rPr>
              <w:t>%，</w:t>
            </w:r>
            <w:r>
              <w:rPr>
                <w:rFonts w:ascii="Times New Roman" w:hAnsi="Times New Roman" w:eastAsia="宋体" w:cs="宋体"/>
                <w:color w:val="000000" w:themeColor="text1"/>
                <w:spacing w:val="-2"/>
                <w:sz w:val="21"/>
                <w:szCs w:val="21"/>
                <w:highlight w:val="none"/>
                <w14:textFill>
                  <w14:solidFill>
                    <w14:schemeClr w14:val="tx1"/>
                  </w14:solidFill>
                </w14:textFill>
              </w:rPr>
              <w:t>满足生产要求。</w:t>
            </w:r>
          </w:p>
          <w:p w14:paraId="6D1F064D">
            <w:pPr>
              <w:pStyle w:val="48"/>
              <w:spacing w:line="360" w:lineRule="auto"/>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表9项</w:t>
            </w:r>
            <w:r>
              <w:rPr>
                <w:rFonts w:hint="default" w:ascii="Times New Roman" w:hAnsi="Times New Roman" w:cs="Times New Roman"/>
                <w:b/>
                <w:bCs/>
                <w:color w:val="000000" w:themeColor="text1"/>
                <w:lang w:val="en-US" w:eastAsia="zh-CN"/>
                <w14:textFill>
                  <w14:solidFill>
                    <w14:schemeClr w14:val="tx1"/>
                  </w14:solidFill>
                </w14:textFill>
              </w:rPr>
              <w:t>目液化石油气用量核算</w:t>
            </w:r>
          </w:p>
          <w:tbl>
            <w:tblPr>
              <w:tblStyle w:val="34"/>
              <w:tblW w:w="77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860"/>
              <w:gridCol w:w="1055"/>
              <w:gridCol w:w="849"/>
              <w:gridCol w:w="1008"/>
              <w:gridCol w:w="1092"/>
              <w:gridCol w:w="1193"/>
              <w:gridCol w:w="877"/>
            </w:tblGrid>
            <w:tr w14:paraId="6207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52" w:type="dxa"/>
                  <w:vAlign w:val="center"/>
                </w:tcPr>
                <w:p w14:paraId="78036F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ascii="Times New Roman" w:hAnsi="Times New Roman" w:eastAsia="宋体" w:cs="宋体"/>
                      <w:b/>
                      <w:bCs w:val="0"/>
                      <w:color w:val="000000" w:themeColor="text1"/>
                      <w:sz w:val="21"/>
                      <w:szCs w:val="21"/>
                      <w:vertAlign w:val="baseline"/>
                      <w:lang w:val="en-US" w:eastAsia="zh-CN"/>
                      <w14:textFill>
                        <w14:solidFill>
                          <w14:schemeClr w14:val="tx1"/>
                        </w14:solidFill>
                      </w14:textFill>
                    </w:rPr>
                  </w:pPr>
                  <w:r>
                    <w:rPr>
                      <w:rFonts w:hint="eastAsia" w:cs="宋体"/>
                      <w:b/>
                      <w:bCs w:val="0"/>
                      <w:color w:val="000000" w:themeColor="text1"/>
                      <w:sz w:val="21"/>
                      <w:szCs w:val="21"/>
                      <w:vertAlign w:val="baseline"/>
                      <w:lang w:val="en-US" w:eastAsia="zh-CN"/>
                      <w14:textFill>
                        <w14:solidFill>
                          <w14:schemeClr w14:val="tx1"/>
                        </w14:solidFill>
                      </w14:textFill>
                    </w:rPr>
                    <w:t>设备</w:t>
                  </w:r>
                </w:p>
              </w:tc>
              <w:tc>
                <w:tcPr>
                  <w:tcW w:w="878" w:type="dxa"/>
                  <w:vAlign w:val="center"/>
                </w:tcPr>
                <w:p w14:paraId="0817D3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ascii="Times New Roman" w:hAnsi="Times New Roman" w:eastAsia="宋体" w:cs="宋体"/>
                      <w:b/>
                      <w:bCs w:val="0"/>
                      <w:color w:val="000000" w:themeColor="text1"/>
                      <w:sz w:val="21"/>
                      <w:szCs w:val="21"/>
                      <w:vertAlign w:val="baseline"/>
                      <w:lang w:val="en-US" w:eastAsia="zh-CN"/>
                      <w14:textFill>
                        <w14:solidFill>
                          <w14:schemeClr w14:val="tx1"/>
                        </w14:solidFill>
                      </w14:textFill>
                    </w:rPr>
                  </w:pPr>
                  <w:r>
                    <w:rPr>
                      <w:rFonts w:hint="eastAsia" w:cs="宋体"/>
                      <w:b/>
                      <w:bCs w:val="0"/>
                      <w:color w:val="000000" w:themeColor="text1"/>
                      <w:sz w:val="21"/>
                      <w:szCs w:val="21"/>
                      <w:vertAlign w:val="baseline"/>
                      <w:lang w:val="en-US" w:eastAsia="zh-CN"/>
                      <w14:textFill>
                        <w14:solidFill>
                          <w14:schemeClr w14:val="tx1"/>
                        </w14:solidFill>
                      </w14:textFill>
                    </w:rPr>
                    <w:t>功率kw</w:t>
                  </w:r>
                </w:p>
              </w:tc>
              <w:tc>
                <w:tcPr>
                  <w:tcW w:w="1075" w:type="dxa"/>
                  <w:vAlign w:val="center"/>
                </w:tcPr>
                <w:p w14:paraId="6F2121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eastAsia" w:cs="宋体"/>
                      <w:b/>
                      <w:bCs w:val="0"/>
                      <w:color w:val="000000" w:themeColor="text1"/>
                      <w:sz w:val="21"/>
                      <w:szCs w:val="21"/>
                      <w:vertAlign w:val="baseline"/>
                      <w:lang w:val="en-US" w:eastAsia="zh-CN"/>
                      <w14:textFill>
                        <w14:solidFill>
                          <w14:schemeClr w14:val="tx1"/>
                        </w14:solidFill>
                      </w14:textFill>
                    </w:rPr>
                  </w:pPr>
                  <w:r>
                    <w:rPr>
                      <w:rFonts w:hint="eastAsia" w:cs="宋体"/>
                      <w:b/>
                      <w:bCs w:val="0"/>
                      <w:color w:val="000000" w:themeColor="text1"/>
                      <w:sz w:val="21"/>
                      <w:szCs w:val="21"/>
                      <w:vertAlign w:val="baseline"/>
                      <w:lang w:val="en-US" w:eastAsia="zh-CN"/>
                      <w14:textFill>
                        <w14:solidFill>
                          <w14:schemeClr w14:val="tx1"/>
                        </w14:solidFill>
                      </w14:textFill>
                    </w:rPr>
                    <w:t>生产时间</w:t>
                  </w:r>
                </w:p>
                <w:p w14:paraId="4B59E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ascii="Times New Roman" w:hAnsi="Times New Roman" w:eastAsia="宋体" w:cs="宋体"/>
                      <w:b/>
                      <w:bCs w:val="0"/>
                      <w:color w:val="000000" w:themeColor="text1"/>
                      <w:sz w:val="21"/>
                      <w:szCs w:val="21"/>
                      <w:vertAlign w:val="baseline"/>
                      <w:lang w:val="en-US" w:eastAsia="zh-CN"/>
                      <w14:textFill>
                        <w14:solidFill>
                          <w14:schemeClr w14:val="tx1"/>
                        </w14:solidFill>
                      </w14:textFill>
                    </w:rPr>
                  </w:pPr>
                  <w:r>
                    <w:rPr>
                      <w:rFonts w:hint="eastAsia" w:cs="宋体"/>
                      <w:b/>
                      <w:bCs w:val="0"/>
                      <w:color w:val="000000" w:themeColor="text1"/>
                      <w:sz w:val="21"/>
                      <w:szCs w:val="21"/>
                      <w:vertAlign w:val="baseline"/>
                      <w:lang w:val="en-US" w:eastAsia="zh-CN"/>
                      <w14:textFill>
                        <w14:solidFill>
                          <w14:schemeClr w14:val="tx1"/>
                        </w14:solidFill>
                      </w14:textFill>
                    </w:rPr>
                    <w:t>h</w:t>
                  </w:r>
                </w:p>
              </w:tc>
              <w:tc>
                <w:tcPr>
                  <w:tcW w:w="720" w:type="dxa"/>
                  <w:vAlign w:val="center"/>
                </w:tcPr>
                <w:p w14:paraId="20BF43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ascii="Times New Roman" w:hAnsi="Times New Roman" w:eastAsia="宋体" w:cs="宋体"/>
                      <w:b/>
                      <w:bCs w:val="0"/>
                      <w:color w:val="000000" w:themeColor="text1"/>
                      <w:sz w:val="21"/>
                      <w:szCs w:val="21"/>
                      <w:vertAlign w:val="baseline"/>
                      <w:lang w:val="en-US" w:eastAsia="zh-CN"/>
                      <w14:textFill>
                        <w14:solidFill>
                          <w14:schemeClr w14:val="tx1"/>
                        </w14:solidFill>
                      </w14:textFill>
                    </w:rPr>
                  </w:pPr>
                  <w:r>
                    <w:rPr>
                      <w:rFonts w:hint="eastAsia" w:cs="宋体"/>
                      <w:b/>
                      <w:bCs w:val="0"/>
                      <w:color w:val="000000" w:themeColor="text1"/>
                      <w:sz w:val="21"/>
                      <w:szCs w:val="21"/>
                      <w:vertAlign w:val="baseline"/>
                      <w:lang w:val="en-US" w:eastAsia="zh-CN"/>
                      <w14:textFill>
                        <w14:solidFill>
                          <w14:schemeClr w14:val="tx1"/>
                        </w14:solidFill>
                      </w14:textFill>
                    </w:rPr>
                    <w:t>设备数量（台）</w:t>
                  </w:r>
                </w:p>
              </w:tc>
              <w:tc>
                <w:tcPr>
                  <w:tcW w:w="1020" w:type="dxa"/>
                  <w:vAlign w:val="center"/>
                </w:tcPr>
                <w:p w14:paraId="3E18E6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ascii="Times New Roman" w:hAnsi="Times New Roman" w:eastAsia="宋体" w:cs="宋体"/>
                      <w:b/>
                      <w:bCs w:val="0"/>
                      <w:color w:val="000000" w:themeColor="text1"/>
                      <w:sz w:val="21"/>
                      <w:szCs w:val="21"/>
                      <w:vertAlign w:val="baseline"/>
                      <w:lang w:val="en-US" w:eastAsia="zh-CN"/>
                      <w14:textFill>
                        <w14:solidFill>
                          <w14:schemeClr w14:val="tx1"/>
                        </w14:solidFill>
                      </w14:textFill>
                    </w:rPr>
                  </w:pPr>
                  <w:r>
                    <w:rPr>
                      <w:rFonts w:hint="eastAsia" w:cs="宋体"/>
                      <w:b/>
                      <w:bCs w:val="0"/>
                      <w:color w:val="000000" w:themeColor="text1"/>
                      <w:sz w:val="21"/>
                      <w:szCs w:val="21"/>
                      <w:vertAlign w:val="baseline"/>
                      <w:lang w:val="en-US" w:eastAsia="zh-CN"/>
                      <w14:textFill>
                        <w14:solidFill>
                          <w14:schemeClr w14:val="tx1"/>
                        </w14:solidFill>
                      </w14:textFill>
                    </w:rPr>
                    <w:t>液化石油气热值（大卡/m³）</w:t>
                  </w:r>
                </w:p>
              </w:tc>
              <w:tc>
                <w:tcPr>
                  <w:tcW w:w="1122" w:type="dxa"/>
                  <w:vAlign w:val="center"/>
                </w:tcPr>
                <w:p w14:paraId="15341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ascii="Times New Roman" w:hAnsi="Times New Roman" w:eastAsia="宋体" w:cs="宋体"/>
                      <w:b/>
                      <w:bCs w:val="0"/>
                      <w:color w:val="000000" w:themeColor="text1"/>
                      <w:sz w:val="21"/>
                      <w:szCs w:val="21"/>
                      <w:vertAlign w:val="baseline"/>
                      <w:lang w:val="en-US" w:eastAsia="zh-CN"/>
                      <w14:textFill>
                        <w14:solidFill>
                          <w14:schemeClr w14:val="tx1"/>
                        </w14:solidFill>
                      </w14:textFill>
                    </w:rPr>
                  </w:pPr>
                  <w:r>
                    <w:rPr>
                      <w:rFonts w:hint="eastAsia" w:cs="宋体"/>
                      <w:b/>
                      <w:bCs w:val="0"/>
                      <w:color w:val="000000" w:themeColor="text1"/>
                      <w:sz w:val="21"/>
                      <w:szCs w:val="21"/>
                      <w:vertAlign w:val="baseline"/>
                      <w:lang w:val="en-US" w:eastAsia="zh-CN"/>
                      <w14:textFill>
                        <w14:solidFill>
                          <w14:schemeClr w14:val="tx1"/>
                        </w14:solidFill>
                      </w14:textFill>
                    </w:rPr>
                    <w:t>燃料热值转换率</w:t>
                  </w:r>
                </w:p>
              </w:tc>
              <w:tc>
                <w:tcPr>
                  <w:tcW w:w="1215" w:type="dxa"/>
                  <w:vAlign w:val="center"/>
                </w:tcPr>
                <w:p w14:paraId="6D2969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baseline"/>
                    <w:rPr>
                      <w:rFonts w:hint="eastAsia" w:cs="宋体"/>
                      <w:b/>
                      <w:bCs w:val="0"/>
                      <w:color w:val="000000" w:themeColor="text1"/>
                      <w:sz w:val="21"/>
                      <w:szCs w:val="21"/>
                      <w:vertAlign w:val="baseline"/>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液化石油气密度（气态）</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kg/m</w:t>
                  </w:r>
                  <w:r>
                    <w:rPr>
                      <w:rFonts w:hint="eastAsia" w:ascii="Times New Roman" w:hAnsi="Times New Roman" w:eastAsia="宋体" w:cs="Times New Roman"/>
                      <w:b/>
                      <w:bCs/>
                      <w:color w:val="000000" w:themeColor="text1"/>
                      <w:sz w:val="21"/>
                      <w:szCs w:val="21"/>
                      <w:vertAlign w:val="superscript"/>
                      <w:lang w:val="en-US" w:eastAsia="zh-CN"/>
                      <w14:textFill>
                        <w14:solidFill>
                          <w14:schemeClr w14:val="tx1"/>
                        </w14:solidFill>
                      </w14:textFill>
                    </w:rPr>
                    <w:t>3</w:t>
                  </w:r>
                </w:p>
              </w:tc>
              <w:tc>
                <w:tcPr>
                  <w:tcW w:w="884" w:type="dxa"/>
                  <w:vAlign w:val="center"/>
                </w:tcPr>
                <w:p w14:paraId="31647E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eastAsia" w:cs="宋体"/>
                      <w:b/>
                      <w:bCs w:val="0"/>
                      <w:color w:val="000000" w:themeColor="text1"/>
                      <w:sz w:val="21"/>
                      <w:szCs w:val="21"/>
                      <w:vertAlign w:val="baseline"/>
                      <w:lang w:val="en-US" w:eastAsia="zh-CN"/>
                      <w14:textFill>
                        <w14:solidFill>
                          <w14:schemeClr w14:val="tx1"/>
                        </w14:solidFill>
                      </w14:textFill>
                    </w:rPr>
                  </w:pPr>
                  <w:r>
                    <w:rPr>
                      <w:rFonts w:hint="eastAsia" w:cs="宋体"/>
                      <w:b/>
                      <w:bCs w:val="0"/>
                      <w:color w:val="000000" w:themeColor="text1"/>
                      <w:sz w:val="21"/>
                      <w:szCs w:val="21"/>
                      <w:vertAlign w:val="baseline"/>
                      <w:lang w:val="en-US" w:eastAsia="zh-CN"/>
                      <w14:textFill>
                        <w14:solidFill>
                          <w14:schemeClr w14:val="tx1"/>
                        </w14:solidFill>
                      </w14:textFill>
                    </w:rPr>
                    <w:t>年用量</w:t>
                  </w:r>
                </w:p>
                <w:p w14:paraId="0AB3F0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ascii="Times New Roman" w:hAnsi="Times New Roman" w:eastAsia="宋体" w:cs="宋体"/>
                      <w:b/>
                      <w:bCs w:val="0"/>
                      <w:color w:val="000000" w:themeColor="text1"/>
                      <w:sz w:val="21"/>
                      <w:szCs w:val="21"/>
                      <w:vertAlign w:val="baseline"/>
                      <w:lang w:val="en-US" w:eastAsia="zh-CN"/>
                      <w14:textFill>
                        <w14:solidFill>
                          <w14:schemeClr w14:val="tx1"/>
                        </w14:solidFill>
                      </w14:textFill>
                    </w:rPr>
                  </w:pPr>
                  <w:r>
                    <w:rPr>
                      <w:rFonts w:hint="eastAsia" w:cs="宋体"/>
                      <w:b/>
                      <w:bCs w:val="0"/>
                      <w:color w:val="000000" w:themeColor="text1"/>
                      <w:sz w:val="21"/>
                      <w:szCs w:val="21"/>
                      <w:vertAlign w:val="baseline"/>
                      <w:lang w:val="en-US" w:eastAsia="zh-CN"/>
                      <w14:textFill>
                        <w14:solidFill>
                          <w14:schemeClr w14:val="tx1"/>
                        </w14:solidFill>
                      </w14:textFill>
                    </w:rPr>
                    <w:t>m</w:t>
                  </w:r>
                  <w:r>
                    <w:rPr>
                      <w:rFonts w:hint="eastAsia" w:cs="宋体"/>
                      <w:b/>
                      <w:bCs w:val="0"/>
                      <w:color w:val="000000" w:themeColor="text1"/>
                      <w:sz w:val="21"/>
                      <w:szCs w:val="21"/>
                      <w:vertAlign w:val="superscript"/>
                      <w:lang w:val="en-US" w:eastAsia="zh-CN"/>
                      <w14:textFill>
                        <w14:solidFill>
                          <w14:schemeClr w14:val="tx1"/>
                        </w14:solidFill>
                      </w14:textFill>
                    </w:rPr>
                    <w:t>3</w:t>
                  </w:r>
                </w:p>
              </w:tc>
            </w:tr>
            <w:tr w14:paraId="4707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52" w:type="dxa"/>
                  <w:vAlign w:val="center"/>
                </w:tcPr>
                <w:p w14:paraId="09F017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ascii="Times New Roman" w:hAnsi="Times New Roman" w:eastAsia="宋体" w:cs="宋体"/>
                      <w:b w:val="0"/>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宋体" w:cs="宋体"/>
                      <w:b w:val="0"/>
                      <w:bCs/>
                      <w:color w:val="000000" w:themeColor="text1"/>
                      <w:sz w:val="21"/>
                      <w:szCs w:val="21"/>
                      <w:vertAlign w:val="baseline"/>
                      <w:lang w:val="en-US" w:eastAsia="zh-CN"/>
                      <w14:textFill>
                        <w14:solidFill>
                          <w14:schemeClr w14:val="tx1"/>
                        </w14:solidFill>
                      </w14:textFill>
                    </w:rPr>
                    <w:t>熔炉</w:t>
                  </w:r>
                </w:p>
              </w:tc>
              <w:tc>
                <w:tcPr>
                  <w:tcW w:w="878" w:type="dxa"/>
                  <w:vAlign w:val="center"/>
                </w:tcPr>
                <w:p w14:paraId="3B98EC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cs="宋体"/>
                      <w:b w:val="0"/>
                      <w:bCs/>
                      <w:color w:val="000000" w:themeColor="text1"/>
                      <w:sz w:val="21"/>
                      <w:szCs w:val="21"/>
                      <w:vertAlign w:val="baseline"/>
                      <w:lang w:val="en-US" w:eastAsia="zh-CN"/>
                      <w14:textFill>
                        <w14:solidFill>
                          <w14:schemeClr w14:val="tx1"/>
                        </w14:solidFill>
                      </w14:textFill>
                    </w:rPr>
                  </w:pPr>
                  <w:r>
                    <w:rPr>
                      <w:rFonts w:hint="eastAsia" w:cs="宋体"/>
                      <w:b w:val="0"/>
                      <w:bCs/>
                      <w:color w:val="000000" w:themeColor="text1"/>
                      <w:sz w:val="21"/>
                      <w:szCs w:val="21"/>
                      <w:vertAlign w:val="baseline"/>
                      <w:lang w:val="en-US" w:eastAsia="zh-CN"/>
                      <w14:textFill>
                        <w14:solidFill>
                          <w14:schemeClr w14:val="tx1"/>
                        </w14:solidFill>
                      </w14:textFill>
                    </w:rPr>
                    <w:t>30</w:t>
                  </w:r>
                </w:p>
              </w:tc>
              <w:tc>
                <w:tcPr>
                  <w:tcW w:w="1075" w:type="dxa"/>
                  <w:vAlign w:val="center"/>
                </w:tcPr>
                <w:p w14:paraId="009B9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cs="宋体"/>
                      <w:b w:val="0"/>
                      <w:bCs/>
                      <w:color w:val="000000" w:themeColor="text1"/>
                      <w:sz w:val="21"/>
                      <w:szCs w:val="21"/>
                      <w:vertAlign w:val="baseline"/>
                      <w:lang w:val="en-US" w:eastAsia="zh-CN"/>
                      <w14:textFill>
                        <w14:solidFill>
                          <w14:schemeClr w14:val="tx1"/>
                        </w14:solidFill>
                      </w14:textFill>
                    </w:rPr>
                  </w:pPr>
                  <w:r>
                    <w:rPr>
                      <w:rFonts w:hint="eastAsia" w:cs="宋体"/>
                      <w:b w:val="0"/>
                      <w:bCs/>
                      <w:color w:val="000000" w:themeColor="text1"/>
                      <w:sz w:val="21"/>
                      <w:szCs w:val="21"/>
                      <w:vertAlign w:val="baseline"/>
                      <w:lang w:val="en-US" w:eastAsia="zh-CN"/>
                      <w14:textFill>
                        <w14:solidFill>
                          <w14:schemeClr w14:val="tx1"/>
                        </w14:solidFill>
                      </w14:textFill>
                    </w:rPr>
                    <w:t>2400</w:t>
                  </w:r>
                </w:p>
              </w:tc>
              <w:tc>
                <w:tcPr>
                  <w:tcW w:w="720" w:type="dxa"/>
                  <w:vAlign w:val="center"/>
                </w:tcPr>
                <w:p w14:paraId="7764F6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cs="宋体"/>
                      <w:b w:val="0"/>
                      <w:bCs/>
                      <w:color w:val="000000" w:themeColor="text1"/>
                      <w:sz w:val="21"/>
                      <w:szCs w:val="21"/>
                      <w:vertAlign w:val="baseline"/>
                      <w:lang w:val="en-US" w:eastAsia="zh-CN"/>
                      <w14:textFill>
                        <w14:solidFill>
                          <w14:schemeClr w14:val="tx1"/>
                        </w14:solidFill>
                      </w14:textFill>
                    </w:rPr>
                  </w:pPr>
                  <w:r>
                    <w:rPr>
                      <w:rFonts w:hint="eastAsia" w:cs="宋体"/>
                      <w:b w:val="0"/>
                      <w:bCs/>
                      <w:color w:val="000000" w:themeColor="text1"/>
                      <w:sz w:val="21"/>
                      <w:szCs w:val="21"/>
                      <w:vertAlign w:val="baseline"/>
                      <w:lang w:val="en-US" w:eastAsia="zh-CN"/>
                      <w14:textFill>
                        <w14:solidFill>
                          <w14:schemeClr w14:val="tx1"/>
                        </w14:solidFill>
                      </w14:textFill>
                    </w:rPr>
                    <w:t>5</w:t>
                  </w:r>
                </w:p>
              </w:tc>
              <w:tc>
                <w:tcPr>
                  <w:tcW w:w="1020" w:type="dxa"/>
                  <w:vAlign w:val="center"/>
                </w:tcPr>
                <w:p w14:paraId="55A2D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cs="宋体"/>
                      <w:b w:val="0"/>
                      <w:bCs/>
                      <w:color w:val="000000" w:themeColor="text1"/>
                      <w:sz w:val="21"/>
                      <w:szCs w:val="21"/>
                      <w:vertAlign w:val="baseline"/>
                      <w:lang w:val="en-US" w:eastAsia="zh-CN"/>
                      <w14:textFill>
                        <w14:solidFill>
                          <w14:schemeClr w14:val="tx1"/>
                        </w14:solidFill>
                      </w14:textFill>
                    </w:rPr>
                  </w:pPr>
                  <w:r>
                    <w:rPr>
                      <w:rFonts w:hint="eastAsia" w:cs="宋体"/>
                      <w:b w:val="0"/>
                      <w:bCs/>
                      <w:color w:val="000000" w:themeColor="text1"/>
                      <w:sz w:val="21"/>
                      <w:szCs w:val="21"/>
                      <w:vertAlign w:val="baseline"/>
                      <w:lang w:val="en-US" w:eastAsia="zh-CN"/>
                      <w14:textFill>
                        <w14:solidFill>
                          <w14:schemeClr w14:val="tx1"/>
                        </w14:solidFill>
                      </w14:textFill>
                    </w:rPr>
                    <w:t>12000</w:t>
                  </w:r>
                </w:p>
              </w:tc>
              <w:tc>
                <w:tcPr>
                  <w:tcW w:w="1122" w:type="dxa"/>
                  <w:vAlign w:val="center"/>
                </w:tcPr>
                <w:p w14:paraId="1747FC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cs="宋体"/>
                      <w:b w:val="0"/>
                      <w:bCs/>
                      <w:color w:val="000000" w:themeColor="text1"/>
                      <w:sz w:val="21"/>
                      <w:szCs w:val="21"/>
                      <w:vertAlign w:val="baseline"/>
                      <w:lang w:val="en-US" w:eastAsia="zh-CN"/>
                      <w14:textFill>
                        <w14:solidFill>
                          <w14:schemeClr w14:val="tx1"/>
                        </w14:solidFill>
                      </w14:textFill>
                    </w:rPr>
                  </w:pPr>
                  <w:r>
                    <w:rPr>
                      <w:rFonts w:hint="eastAsia" w:cs="宋体"/>
                      <w:b w:val="0"/>
                      <w:bCs/>
                      <w:color w:val="000000" w:themeColor="text1"/>
                      <w:sz w:val="21"/>
                      <w:szCs w:val="21"/>
                      <w:vertAlign w:val="baseline"/>
                      <w:lang w:val="en-US" w:eastAsia="zh-CN"/>
                      <w14:textFill>
                        <w14:solidFill>
                          <w14:schemeClr w14:val="tx1"/>
                        </w14:solidFill>
                      </w14:textFill>
                    </w:rPr>
                    <w:t>0.9</w:t>
                  </w:r>
                </w:p>
              </w:tc>
              <w:tc>
                <w:tcPr>
                  <w:tcW w:w="1215" w:type="dxa"/>
                  <w:vAlign w:val="center"/>
                </w:tcPr>
                <w:p w14:paraId="0B630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baseline"/>
                    <w:rPr>
                      <w:rFonts w:hint="eastAsia" w:cs="宋体"/>
                      <w:b w:val="0"/>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2.35</w:t>
                  </w:r>
                </w:p>
              </w:tc>
              <w:tc>
                <w:tcPr>
                  <w:tcW w:w="884" w:type="dxa"/>
                  <w:vAlign w:val="center"/>
                </w:tcPr>
                <w:p w14:paraId="5FCD73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cs="宋体"/>
                      <w:b w:val="0"/>
                      <w:bCs/>
                      <w:color w:val="000000" w:themeColor="text1"/>
                      <w:sz w:val="21"/>
                      <w:szCs w:val="21"/>
                      <w:vertAlign w:val="baseline"/>
                      <w:lang w:val="en-US" w:eastAsia="zh-CN"/>
                      <w14:textFill>
                        <w14:solidFill>
                          <w14:schemeClr w14:val="tx1"/>
                        </w14:solidFill>
                      </w14:textFill>
                    </w:rPr>
                  </w:pPr>
                  <w:r>
                    <w:rPr>
                      <w:rFonts w:hint="eastAsia" w:cs="宋体"/>
                      <w:b w:val="0"/>
                      <w:bCs/>
                      <w:color w:val="000000" w:themeColor="text1"/>
                      <w:sz w:val="21"/>
                      <w:szCs w:val="21"/>
                      <w:vertAlign w:val="baseline"/>
                      <w:lang w:val="en-US" w:eastAsia="zh-CN"/>
                      <w14:textFill>
                        <w14:solidFill>
                          <w14:schemeClr w14:val="tx1"/>
                        </w14:solidFill>
                      </w14:textFill>
                    </w:rPr>
                    <w:t>12199</w:t>
                  </w:r>
                </w:p>
              </w:tc>
            </w:tr>
            <w:tr w14:paraId="6004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766" w:type="dxa"/>
                  <w:gridSpan w:val="8"/>
                  <w:vAlign w:val="center"/>
                </w:tcPr>
                <w:p w14:paraId="1A1860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baseline"/>
                    <w:rPr>
                      <w:rFonts w:hint="default" w:ascii="Times New Roman" w:hAnsi="Times New Roman" w:cs="Times New Roman"/>
                      <w:b w:val="0"/>
                      <w:bCs/>
                      <w:color w:val="000000" w:themeColor="text1"/>
                      <w:sz w:val="21"/>
                      <w:szCs w:val="21"/>
                      <w:vertAlign w:val="baseline"/>
                      <w:lang w:val="en-US" w:eastAsia="zh-CN"/>
                      <w14:textFill>
                        <w14:solidFill>
                          <w14:schemeClr w14:val="tx1"/>
                        </w14:solidFill>
                      </w14:textFill>
                    </w:rPr>
                  </w:pPr>
                  <w:r>
                    <w:rPr>
                      <w:rFonts w:hint="eastAsia" w:cs="宋体"/>
                      <w:b w:val="0"/>
                      <w:bCs/>
                      <w:color w:val="000000" w:themeColor="text1"/>
                      <w:sz w:val="21"/>
                      <w:szCs w:val="21"/>
                      <w:vertAlign w:val="baseline"/>
                      <w:lang w:val="en-US" w:eastAsia="zh-CN"/>
                      <w14:textFill>
                        <w14:solidFill>
                          <w14:schemeClr w14:val="tx1"/>
                        </w14:solidFill>
                      </w14:textFill>
                    </w:rPr>
                    <w:t>注：</w:t>
                  </w:r>
                  <w:r>
                    <w:rPr>
                      <w:rFonts w:hint="default" w:ascii="Times New Roman" w:hAnsi="Times New Roman" w:cs="Times New Roman"/>
                      <w:b w:val="0"/>
                      <w:bCs/>
                      <w:color w:val="000000" w:themeColor="text1"/>
                      <w:sz w:val="21"/>
                      <w:szCs w:val="21"/>
                      <w:vertAlign w:val="baseline"/>
                      <w:lang w:val="en-US" w:eastAsia="zh-CN"/>
                      <w14:textFill>
                        <w14:solidFill>
                          <w14:schemeClr w14:val="tx1"/>
                        </w14:solidFill>
                      </w14:textFill>
                    </w:rPr>
                    <w:t>①</w:t>
                  </w:r>
                  <w:r>
                    <w:rPr>
                      <w:rFonts w:hint="eastAsia" w:ascii="Times New Roman" w:hAnsi="Times New Roman"/>
                      <w:snapToGrid w:val="0"/>
                      <w:color w:val="000000" w:themeColor="text1"/>
                      <w:spacing w:val="3"/>
                      <w:kern w:val="0"/>
                      <w:sz w:val="21"/>
                      <w:szCs w:val="21"/>
                      <w:highlight w:val="none"/>
                      <w:lang w:val="en-US" w:eastAsia="zh-CN"/>
                      <w14:textFill>
                        <w14:solidFill>
                          <w14:schemeClr w14:val="tx1"/>
                        </w14:solidFill>
                      </w14:textFill>
                    </w:rPr>
                    <w:t>熔炉</w:t>
                  </w:r>
                  <w:r>
                    <w:rPr>
                      <w:rFonts w:hint="eastAsia" w:ascii="Times New Roman" w:hAnsi="Times New Roman"/>
                      <w:color w:val="000000" w:themeColor="text1"/>
                      <w:kern w:val="0"/>
                      <w:sz w:val="21"/>
                      <w:szCs w:val="21"/>
                      <w:highlight w:val="none"/>
                      <w:lang w:val="en-US" w:eastAsia="zh-CN" w:bidi="ar"/>
                      <w14:textFill>
                        <w14:solidFill>
                          <w14:schemeClr w14:val="tx1"/>
                        </w14:solidFill>
                      </w14:textFill>
                    </w:rPr>
                    <w:t>功率为30kW，已知1kW·h=860大卡，则其每小时制热量为860大卡</w:t>
                  </w:r>
                  <w:r>
                    <w:rPr>
                      <w:rFonts w:ascii="Times New Roman" w:hAnsi="Times New Roman" w:eastAsia="宋体" w:cs="宋体"/>
                      <w:snapToGrid w:val="0"/>
                      <w:color w:val="000000" w:themeColor="text1"/>
                      <w:spacing w:val="3"/>
                      <w:kern w:val="0"/>
                      <w:sz w:val="21"/>
                      <w:szCs w:val="21"/>
                      <w:highlight w:val="none"/>
                      <w:lang w:val="en-US" w:eastAsia="en-US" w:bidi="ar-SA"/>
                      <w14:textFill>
                        <w14:solidFill>
                          <w14:schemeClr w14:val="tx1"/>
                        </w14:solidFill>
                      </w14:textFill>
                    </w:rPr>
                    <w:t>×</w:t>
                  </w:r>
                  <w:r>
                    <w:rPr>
                      <w:rFonts w:hint="eastAsia" w:ascii="Times New Roman" w:hAnsi="Times New Roman" w:eastAsia="宋体" w:cs="宋体"/>
                      <w:snapToGrid w:val="0"/>
                      <w:color w:val="000000" w:themeColor="text1"/>
                      <w:spacing w:val="3"/>
                      <w:kern w:val="0"/>
                      <w:sz w:val="21"/>
                      <w:szCs w:val="21"/>
                      <w:highlight w:val="none"/>
                      <w:lang w:val="en-US" w:eastAsia="zh-CN" w:bidi="ar-SA"/>
                      <w14:textFill>
                        <w14:solidFill>
                          <w14:schemeClr w14:val="tx1"/>
                        </w14:solidFill>
                      </w14:textFill>
                    </w:rPr>
                    <w:t>30kw=</w:t>
                  </w:r>
                  <w:r>
                    <w:rPr>
                      <w:rFonts w:hint="eastAsia" w:cs="宋体"/>
                      <w:snapToGrid w:val="0"/>
                      <w:color w:val="000000" w:themeColor="text1"/>
                      <w:spacing w:val="3"/>
                      <w:kern w:val="0"/>
                      <w:sz w:val="21"/>
                      <w:szCs w:val="21"/>
                      <w:highlight w:val="none"/>
                      <w:lang w:val="en-US" w:eastAsia="zh-CN" w:bidi="ar-SA"/>
                      <w14:textFill>
                        <w14:solidFill>
                          <w14:schemeClr w14:val="tx1"/>
                        </w14:solidFill>
                      </w14:textFill>
                    </w:rPr>
                    <w:t>2.58</w:t>
                  </w:r>
                  <w:r>
                    <w:rPr>
                      <w:rFonts w:hint="eastAsia" w:ascii="Times New Roman" w:hAnsi="Times New Roman" w:eastAsia="宋体" w:cs="宋体"/>
                      <w:snapToGrid w:val="0"/>
                      <w:color w:val="000000" w:themeColor="text1"/>
                      <w:spacing w:val="3"/>
                      <w:kern w:val="0"/>
                      <w:sz w:val="21"/>
                      <w:szCs w:val="21"/>
                      <w:highlight w:val="none"/>
                      <w:lang w:val="en-US" w:eastAsia="zh-CN" w:bidi="ar-SA"/>
                      <w14:textFill>
                        <w14:solidFill>
                          <w14:schemeClr w14:val="tx1"/>
                        </w14:solidFill>
                      </w14:textFill>
                    </w:rPr>
                    <w:t>万大卡</w:t>
                  </w:r>
                  <w:r>
                    <w:rPr>
                      <w:rFonts w:hint="eastAsia" w:eastAsia="宋体" w:cs="宋体"/>
                      <w:snapToGrid w:val="0"/>
                      <w:color w:val="000000" w:themeColor="text1"/>
                      <w:spacing w:val="3"/>
                      <w:kern w:val="0"/>
                      <w:sz w:val="21"/>
                      <w:szCs w:val="21"/>
                      <w:highlight w:val="none"/>
                      <w:lang w:val="en-US" w:eastAsia="zh-CN" w:bidi="ar-SA"/>
                      <w14:textFill>
                        <w14:solidFill>
                          <w14:schemeClr w14:val="tx1"/>
                        </w14:solidFill>
                      </w14:textFill>
                    </w:rPr>
                    <w:t>。</w:t>
                  </w:r>
                </w:p>
                <w:p w14:paraId="74316C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baseline"/>
                    <w:rPr>
                      <w:rFonts w:hint="eastAsia" w:cs="宋体"/>
                      <w:b w:val="0"/>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vertAlign w:val="baseline"/>
                      <w:lang w:val="en-US" w:eastAsia="zh-CN"/>
                      <w14:textFill>
                        <w14:solidFill>
                          <w14:schemeClr w14:val="tx1"/>
                        </w14:solidFill>
                      </w14:textFill>
                    </w:rPr>
                    <w:t>②</w:t>
                  </w:r>
                  <w:r>
                    <w:rPr>
                      <w:rFonts w:hint="eastAsia" w:cs="Times New Roman"/>
                      <w:b w:val="0"/>
                      <w:bCs/>
                      <w:color w:val="000000" w:themeColor="text1"/>
                      <w:sz w:val="21"/>
                      <w:szCs w:val="21"/>
                      <w:vertAlign w:val="baseline"/>
                      <w:lang w:val="en-US" w:eastAsia="zh-CN"/>
                      <w14:textFill>
                        <w14:solidFill>
                          <w14:schemeClr w14:val="tx1"/>
                        </w14:solidFill>
                      </w14:textFill>
                    </w:rPr>
                    <w:t>液化石油气</w:t>
                  </w:r>
                  <w:r>
                    <w:rPr>
                      <w:rFonts w:hint="default" w:ascii="Times New Roman" w:hAnsi="Times New Roman" w:eastAsia="宋体" w:cs="Times New Roman"/>
                      <w:color w:val="000000" w:themeColor="text1"/>
                      <w:sz w:val="21"/>
                      <w:szCs w:val="21"/>
                      <w14:textFill>
                        <w14:solidFill>
                          <w14:schemeClr w14:val="tx1"/>
                        </w14:solidFill>
                      </w14:textFill>
                    </w:rPr>
                    <w:t>的热值根据《综合能耗计算通则》（GB/T2589-2020）</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液化石油气</w:t>
                  </w:r>
                  <w:r>
                    <w:rPr>
                      <w:rFonts w:hint="default" w:ascii="Times New Roman" w:hAnsi="Times New Roman" w:eastAsia="宋体" w:cs="Times New Roman"/>
                      <w:color w:val="000000" w:themeColor="text1"/>
                      <w:sz w:val="21"/>
                      <w:szCs w:val="21"/>
                      <w14:textFill>
                        <w14:solidFill>
                          <w14:schemeClr w14:val="tx1"/>
                        </w14:solidFill>
                      </w14:textFill>
                    </w:rPr>
                    <w:t>燃烧热值</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取值12000kcal/kg</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燃烧效率按90%计；</w:t>
                  </w:r>
                  <w:r>
                    <w:rPr>
                      <w:rFonts w:hint="eastAsia" w:cs="Times New Roman"/>
                      <w:color w:val="000000" w:themeColor="text1"/>
                      <w:sz w:val="21"/>
                      <w:szCs w:val="21"/>
                      <w:lang w:val="en-US" w:eastAsia="zh-CN"/>
                      <w14:textFill>
                        <w14:solidFill>
                          <w14:schemeClr w14:val="tx1"/>
                        </w14:solidFill>
                      </w14:textFill>
                    </w:rPr>
                    <w:t>液化石油气</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年用量</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=单台功率×年工作时间×数量÷</w:t>
                  </w:r>
                  <w:r>
                    <w:rPr>
                      <w:rFonts w:hint="eastAsia" w:cs="Times New Roman"/>
                      <w:color w:val="000000" w:themeColor="text1"/>
                      <w:sz w:val="21"/>
                      <w:szCs w:val="21"/>
                      <w:lang w:val="en-US" w:eastAsia="zh-CN"/>
                      <w14:textFill>
                        <w14:solidFill>
                          <w14:schemeClr w14:val="tx1"/>
                        </w14:solidFill>
                      </w14:textFill>
                    </w:rPr>
                    <w:t>液化石油气</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热值÷燃料热值转换率</w:t>
                  </w:r>
                  <w:r>
                    <w:rPr>
                      <w:rFonts w:hint="eastAsia" w:cs="Times New Roman"/>
                      <w:color w:val="000000" w:themeColor="text1"/>
                      <w:sz w:val="21"/>
                      <w:szCs w:val="21"/>
                      <w:lang w:val="en-US" w:eastAsia="zh-CN"/>
                      <w14:textFill>
                        <w14:solidFill>
                          <w14:schemeClr w14:val="tx1"/>
                        </w14:solidFill>
                      </w14:textFill>
                    </w:rPr>
                    <w:t>÷液化石油气密度（气态）。</w:t>
                  </w:r>
                </w:p>
              </w:tc>
            </w:tr>
          </w:tbl>
          <w:p w14:paraId="71D5E184">
            <w:pPr>
              <w:keepNext w:val="0"/>
              <w:keepLines w:val="0"/>
              <w:pageBreakBefore w:val="0"/>
              <w:widowControl w:val="0"/>
              <w:numPr>
                <w:ilvl w:val="0"/>
                <w:numId w:val="0"/>
              </w:numPr>
              <w:shd w:val="clear"/>
              <w:kinsoku/>
              <w:bidi w:val="0"/>
              <w:adjustRightInd w:val="0"/>
              <w:snapToGrid w:val="0"/>
              <w:spacing w:line="360" w:lineRule="auto"/>
              <w:ind w:right="0" w:firstLine="482" w:firstLineChars="200"/>
              <w:jc w:val="both"/>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5、劳动定员及工作制度</w:t>
            </w:r>
          </w:p>
          <w:p w14:paraId="56FC87B0">
            <w:pPr>
              <w:pStyle w:val="48"/>
              <w:keepNext w:val="0"/>
              <w:keepLines w:val="0"/>
              <w:pageBreakBefore w:val="0"/>
              <w:widowControl w:val="0"/>
              <w:kinsoku/>
              <w:wordWrap w:val="0"/>
              <w:overflowPunct w:val="0"/>
              <w:topLinePunct/>
              <w:autoSpaceDE w:val="0"/>
              <w:autoSpaceDN w:val="0"/>
              <w:bidi w:val="0"/>
              <w:adjustRightInd w:val="0"/>
              <w:snapToGrid/>
              <w:spacing w:line="360" w:lineRule="auto"/>
              <w:ind w:firstLine="420" w:firstLineChars="20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项目共设员工20人，均不在厂内就餐。正常工作时间为8小时（8:00~12:00，13：30~17：30），不涉及夜间生产，年工作时间约为300天。</w:t>
            </w:r>
          </w:p>
          <w:p w14:paraId="033332B6">
            <w:pPr>
              <w:keepNext w:val="0"/>
              <w:keepLines w:val="0"/>
              <w:pageBreakBefore w:val="0"/>
              <w:widowControl w:val="0"/>
              <w:numPr>
                <w:ilvl w:val="0"/>
                <w:numId w:val="6"/>
              </w:numPr>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baseline"/>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给排水情况</w:t>
            </w:r>
          </w:p>
          <w:p w14:paraId="5208C87C">
            <w:pPr>
              <w:pStyle w:val="99"/>
              <w:shd w:val="clear"/>
              <w:spacing w:line="360" w:lineRule="auto"/>
              <w:ind w:firstLine="422" w:firstLineChars="20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生活用水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：本项目用水由市政自来水管网供给。项目共设员工</w:t>
            </w: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0人，均</w:t>
            </w:r>
            <w:r>
              <w:rPr>
                <w:rFonts w:hint="eastAsia" w:cs="Times New Roman"/>
                <w:color w:val="000000" w:themeColor="text1"/>
                <w:sz w:val="21"/>
                <w:szCs w:val="21"/>
                <w:highlight w:val="none"/>
                <w:lang w:val="en-US" w:eastAsia="zh-CN"/>
                <w14:textFill>
                  <w14:solidFill>
                    <w14:schemeClr w14:val="tx1"/>
                  </w14:solidFill>
                </w14:textFill>
              </w:rPr>
              <w:t>不</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在</w:t>
            </w:r>
            <w:r>
              <w:rPr>
                <w:rFonts w:hint="eastAsia" w:cs="Times New Roman"/>
                <w:color w:val="000000" w:themeColor="text1"/>
                <w:sz w:val="21"/>
                <w:szCs w:val="21"/>
                <w:highlight w:val="none"/>
                <w:lang w:val="en-US" w:eastAsia="zh-CN"/>
                <w14:textFill>
                  <w14:solidFill>
                    <w14:schemeClr w14:val="tx1"/>
                  </w14:solidFill>
                </w14:textFill>
              </w:rPr>
              <w:t>厂</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内</w:t>
            </w:r>
            <w:r>
              <w:rPr>
                <w:rFonts w:hint="eastAsia" w:cs="Times New Roman"/>
                <w:color w:val="000000" w:themeColor="text1"/>
                <w:sz w:val="21"/>
                <w:szCs w:val="21"/>
                <w:highlight w:val="none"/>
                <w:lang w:val="en-US" w:eastAsia="zh-CN"/>
                <w14:textFill>
                  <w14:solidFill>
                    <w14:schemeClr w14:val="tx1"/>
                  </w14:solidFill>
                </w14:textFill>
              </w:rPr>
              <w:t>食宿</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，生活用水参考《广东省用水定额第三部分：生活》（DB44/T1461.3-2021）中“国家行政机构-办公室-无食堂和浴室-先进值”，按生活用水量10m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/人·a计</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生活用水量约为</w:t>
            </w:r>
            <w:r>
              <w:rPr>
                <w:rFonts w:hint="eastAsia" w:cs="Times New Roman"/>
                <w:color w:val="000000" w:themeColor="text1"/>
                <w:sz w:val="21"/>
                <w:szCs w:val="21"/>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吨/年，生活污水产生率按90%计，其污水产生排放量约为</w:t>
            </w:r>
            <w:r>
              <w:rPr>
                <w:rFonts w:hint="eastAsia" w:cs="Times New Roman"/>
                <w:color w:val="000000" w:themeColor="text1"/>
                <w:sz w:val="21"/>
                <w:szCs w:val="21"/>
                <w:highlight w:val="none"/>
                <w:lang w:val="en-US" w:eastAsia="zh-CN"/>
                <w14:textFill>
                  <w14:solidFill>
                    <w14:schemeClr w14:val="tx1"/>
                  </w14:solidFill>
                </w14:textFill>
              </w:rPr>
              <w:t>180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吨/年。生活污水经三级化粪处理后，通过市政管网进入中山市南朗镇水务有限公司深度处理。</w:t>
            </w:r>
          </w:p>
          <w:p w14:paraId="3BE0E57D">
            <w:pPr>
              <w:numPr>
                <w:ilvl w:val="0"/>
                <w:numId w:val="0"/>
              </w:numPr>
              <w:adjustRightInd w:val="0"/>
              <w:snapToGrid w:val="0"/>
              <w:spacing w:beforeLines="0" w:afterLines="0" w:line="360" w:lineRule="auto"/>
              <w:ind w:firstLine="422" w:firstLineChars="200"/>
              <w:rPr>
                <w:rFonts w:hint="default" w:ascii="Times New Roman" w:hAnsi="Times New Roman" w:eastAsia="宋体" w:cs="宋体"/>
                <w:b/>
                <w:color w:val="000000" w:themeColor="text1"/>
                <w:sz w:val="21"/>
                <w:szCs w:val="21"/>
                <w14:textFill>
                  <w14:solidFill>
                    <w14:schemeClr w14:val="tx1"/>
                  </w14:solidFill>
                </w14:textFill>
              </w:rPr>
            </w:pPr>
            <w:r>
              <w:rPr>
                <w:rFonts w:hint="eastAsia" w:cs="宋体"/>
                <w:b/>
                <w:color w:val="000000" w:themeColor="text1"/>
                <w:sz w:val="21"/>
                <w:szCs w:val="21"/>
                <w:lang w:val="en-US" w:eastAsia="zh-CN"/>
                <w14:textFill>
                  <w14:solidFill>
                    <w14:schemeClr w14:val="tx1"/>
                  </w14:solidFill>
                </w14:textFill>
              </w:rPr>
              <w:t>切削液</w:t>
            </w:r>
            <w:r>
              <w:rPr>
                <w:rFonts w:hint="eastAsia" w:ascii="Times New Roman" w:hAnsi="Times New Roman" w:eastAsia="宋体" w:cs="宋体"/>
                <w:b/>
                <w:color w:val="000000" w:themeColor="text1"/>
                <w:sz w:val="21"/>
                <w:szCs w:val="21"/>
                <w14:textFill>
                  <w14:solidFill>
                    <w14:schemeClr w14:val="tx1"/>
                  </w14:solidFill>
                </w14:textFill>
              </w:rPr>
              <w:t>调配用水：</w:t>
            </w:r>
          </w:p>
          <w:p w14:paraId="34D6FFFA">
            <w:pPr>
              <w:numPr>
                <w:ilvl w:val="0"/>
                <w:numId w:val="0"/>
              </w:numPr>
              <w:adjustRightInd w:val="0"/>
              <w:snapToGrid w:val="0"/>
              <w:spacing w:beforeLines="0" w:afterLines="0" w:line="360" w:lineRule="auto"/>
              <w:ind w:firstLine="420" w:firstLineChars="200"/>
              <w:rPr>
                <w:rFonts w:hint="default" w:ascii="Times New Roman" w:hAnsi="Times New Roman" w:eastAsia="宋体" w:cs="宋体"/>
                <w:color w:val="000000" w:themeColor="text1"/>
                <w:sz w:val="21"/>
                <w:szCs w:val="21"/>
                <w14:textFill>
                  <w14:solidFill>
                    <w14:schemeClr w14:val="tx1"/>
                  </w14:solidFill>
                </w14:textFill>
              </w:rPr>
            </w:pPr>
            <w:r>
              <w:rPr>
                <w:rFonts w:hint="eastAsia" w:ascii="Times New Roman" w:hAnsi="Times New Roman" w:eastAsia="宋体" w:cs="宋体"/>
                <w:color w:val="000000" w:themeColor="text1"/>
                <w:sz w:val="21"/>
                <w:szCs w:val="21"/>
                <w14:textFill>
                  <w14:solidFill>
                    <w14:schemeClr w14:val="tx1"/>
                  </w14:solidFill>
                </w14:textFill>
              </w:rPr>
              <w:t>项目</w:t>
            </w:r>
            <w:r>
              <w:rPr>
                <w:rFonts w:hint="eastAsia" w:cs="宋体"/>
                <w:color w:val="000000" w:themeColor="text1"/>
                <w:sz w:val="21"/>
                <w:szCs w:val="21"/>
                <w:lang w:val="en-US" w:eastAsia="zh-CN"/>
                <w14:textFill>
                  <w14:solidFill>
                    <w14:schemeClr w14:val="tx1"/>
                  </w14:solidFill>
                </w14:textFill>
              </w:rPr>
              <w:t>切削液</w:t>
            </w:r>
            <w:r>
              <w:rPr>
                <w:rFonts w:hint="eastAsia" w:ascii="Times New Roman" w:hAnsi="Times New Roman" w:eastAsia="宋体" w:cs="宋体"/>
                <w:color w:val="000000" w:themeColor="text1"/>
                <w:sz w:val="21"/>
                <w:szCs w:val="21"/>
                <w14:textFill>
                  <w14:solidFill>
                    <w14:schemeClr w14:val="tx1"/>
                  </w14:solidFill>
                </w14:textFill>
              </w:rPr>
              <w:t>用量</w:t>
            </w:r>
            <w:r>
              <w:rPr>
                <w:rFonts w:hint="eastAsia" w:cs="宋体"/>
                <w:color w:val="000000" w:themeColor="text1"/>
                <w:sz w:val="21"/>
                <w:szCs w:val="21"/>
                <w:lang w:val="en-US" w:eastAsia="zh-CN"/>
                <w14:textFill>
                  <w14:solidFill>
                    <w14:schemeClr w14:val="tx1"/>
                  </w14:solidFill>
                </w14:textFill>
              </w:rPr>
              <w:t>1</w:t>
            </w:r>
            <w:r>
              <w:rPr>
                <w:rFonts w:hint="eastAsia" w:ascii="Times New Roman" w:hAnsi="Times New Roman" w:eastAsia="宋体" w:cs="宋体"/>
                <w:color w:val="000000" w:themeColor="text1"/>
                <w:sz w:val="21"/>
                <w:szCs w:val="21"/>
                <w14:textFill>
                  <w14:solidFill>
                    <w14:schemeClr w14:val="tx1"/>
                  </w14:solidFill>
                </w14:textFill>
              </w:rPr>
              <w:t>t/a，</w:t>
            </w:r>
            <w:r>
              <w:rPr>
                <w:rFonts w:hint="eastAsia" w:cs="宋体"/>
                <w:color w:val="000000" w:themeColor="text1"/>
                <w:sz w:val="21"/>
                <w:szCs w:val="21"/>
                <w:lang w:val="en-US" w:eastAsia="zh-CN"/>
                <w14:textFill>
                  <w14:solidFill>
                    <w14:schemeClr w14:val="tx1"/>
                  </w14:solidFill>
                </w14:textFill>
              </w:rPr>
              <w:t>切削液</w:t>
            </w:r>
            <w:r>
              <w:rPr>
                <w:rFonts w:hint="eastAsia" w:ascii="Times New Roman" w:hAnsi="Times New Roman" w:eastAsia="宋体" w:cs="宋体"/>
                <w:color w:val="000000" w:themeColor="text1"/>
                <w:sz w:val="21"/>
                <w:szCs w:val="21"/>
                <w14:textFill>
                  <w14:solidFill>
                    <w14:schemeClr w14:val="tx1"/>
                  </w14:solidFill>
                </w14:textFill>
              </w:rPr>
              <w:t>与水按照1:</w:t>
            </w:r>
            <w:r>
              <w:rPr>
                <w:rFonts w:hint="eastAsia" w:cs="宋体"/>
                <w:color w:val="000000" w:themeColor="text1"/>
                <w:sz w:val="21"/>
                <w:szCs w:val="21"/>
                <w:lang w:val="en-US" w:eastAsia="zh-CN"/>
                <w14:textFill>
                  <w14:solidFill>
                    <w14:schemeClr w14:val="tx1"/>
                  </w14:solidFill>
                </w14:textFill>
              </w:rPr>
              <w:t>20</w:t>
            </w:r>
            <w:r>
              <w:rPr>
                <w:rFonts w:hint="eastAsia" w:ascii="Times New Roman" w:hAnsi="Times New Roman" w:eastAsia="宋体" w:cs="宋体"/>
                <w:color w:val="000000" w:themeColor="text1"/>
                <w:sz w:val="21"/>
                <w:szCs w:val="21"/>
                <w14:textFill>
                  <w14:solidFill>
                    <w14:schemeClr w14:val="tx1"/>
                  </w14:solidFill>
                </w14:textFill>
              </w:rPr>
              <w:t>调配比例，则</w:t>
            </w:r>
            <w:r>
              <w:rPr>
                <w:rFonts w:hint="eastAsia" w:cs="宋体"/>
                <w:color w:val="000000" w:themeColor="text1"/>
                <w:sz w:val="21"/>
                <w:szCs w:val="21"/>
                <w:lang w:val="en-US" w:eastAsia="zh-CN"/>
                <w14:textFill>
                  <w14:solidFill>
                    <w14:schemeClr w14:val="tx1"/>
                  </w14:solidFill>
                </w14:textFill>
              </w:rPr>
              <w:t>切削液</w:t>
            </w:r>
            <w:r>
              <w:rPr>
                <w:rFonts w:hint="eastAsia" w:ascii="Times New Roman" w:hAnsi="Times New Roman" w:eastAsia="宋体" w:cs="宋体"/>
                <w:color w:val="000000" w:themeColor="text1"/>
                <w:sz w:val="21"/>
                <w:szCs w:val="21"/>
                <w14:textFill>
                  <w14:solidFill>
                    <w14:schemeClr w14:val="tx1"/>
                  </w14:solidFill>
                </w14:textFill>
              </w:rPr>
              <w:t>调配用水为</w:t>
            </w:r>
            <w:r>
              <w:rPr>
                <w:rFonts w:hint="eastAsia" w:cs="宋体"/>
                <w:color w:val="000000" w:themeColor="text1"/>
                <w:sz w:val="21"/>
                <w:szCs w:val="21"/>
                <w:lang w:val="en-US" w:eastAsia="zh-CN"/>
                <w14:textFill>
                  <w14:solidFill>
                    <w14:schemeClr w14:val="tx1"/>
                  </w14:solidFill>
                </w14:textFill>
              </w:rPr>
              <w:t>20</w:t>
            </w:r>
            <w:r>
              <w:rPr>
                <w:rFonts w:hint="eastAsia" w:ascii="Times New Roman" w:hAnsi="Times New Roman" w:eastAsia="宋体"/>
                <w:color w:val="000000" w:themeColor="text1"/>
                <w:sz w:val="21"/>
                <w:szCs w:val="24"/>
                <w14:textFill>
                  <w14:solidFill>
                    <w14:schemeClr w14:val="tx1"/>
                  </w14:solidFill>
                </w14:textFill>
              </w:rPr>
              <w:t>t/a；</w:t>
            </w:r>
            <w:r>
              <w:rPr>
                <w:rFonts w:hint="eastAsia"/>
                <w:color w:val="000000" w:themeColor="text1"/>
                <w:sz w:val="21"/>
                <w:szCs w:val="24"/>
                <w:lang w:val="en-US" w:eastAsia="zh-CN"/>
                <w14:textFill>
                  <w14:solidFill>
                    <w14:schemeClr w14:val="tx1"/>
                  </w14:solidFill>
                </w14:textFill>
              </w:rPr>
              <w:t>切削液</w:t>
            </w:r>
            <w:r>
              <w:rPr>
                <w:rFonts w:hint="eastAsia" w:ascii="Times New Roman" w:hAnsi="Times New Roman" w:eastAsia="宋体"/>
                <w:color w:val="000000" w:themeColor="text1"/>
                <w:sz w:val="21"/>
                <w:szCs w:val="24"/>
                <w14:textFill>
                  <w14:solidFill>
                    <w14:schemeClr w14:val="tx1"/>
                  </w14:solidFill>
                </w14:textFill>
              </w:rPr>
              <w:t>使用后定期更换，喷洒时约5%</w:t>
            </w:r>
            <w:r>
              <w:rPr>
                <w:rFonts w:hint="eastAsia"/>
                <w:color w:val="000000" w:themeColor="text1"/>
                <w:sz w:val="21"/>
                <w:szCs w:val="24"/>
                <w:lang w:val="en-US" w:eastAsia="zh-CN"/>
                <w14:textFill>
                  <w14:solidFill>
                    <w14:schemeClr w14:val="tx1"/>
                  </w14:solidFill>
                </w14:textFill>
              </w:rPr>
              <w:t>切削液</w:t>
            </w:r>
            <w:r>
              <w:rPr>
                <w:rFonts w:hint="eastAsia" w:ascii="Times New Roman" w:hAnsi="Times New Roman" w:eastAsia="宋体"/>
                <w:color w:val="000000" w:themeColor="text1"/>
                <w:sz w:val="21"/>
                <w:szCs w:val="24"/>
                <w14:textFill>
                  <w14:solidFill>
                    <w14:schemeClr w14:val="tx1"/>
                  </w14:solidFill>
                </w14:textFill>
              </w:rPr>
              <w:t>飞溅而产生损耗，损耗量为0.</w:t>
            </w:r>
            <w:r>
              <w:rPr>
                <w:rFonts w:hint="eastAsia"/>
                <w:color w:val="000000" w:themeColor="text1"/>
                <w:sz w:val="21"/>
                <w:szCs w:val="24"/>
                <w:lang w:val="en-US" w:eastAsia="zh-CN"/>
                <w14:textFill>
                  <w14:solidFill>
                    <w14:schemeClr w14:val="tx1"/>
                  </w14:solidFill>
                </w14:textFill>
              </w:rPr>
              <w:t>05</w:t>
            </w:r>
            <w:r>
              <w:rPr>
                <w:rFonts w:hint="eastAsia" w:ascii="Times New Roman" w:hAnsi="Times New Roman" w:eastAsia="宋体"/>
                <w:color w:val="000000" w:themeColor="text1"/>
                <w:sz w:val="21"/>
                <w:szCs w:val="24"/>
                <w14:textFill>
                  <w14:solidFill>
                    <w14:schemeClr w14:val="tx1"/>
                  </w14:solidFill>
                </w14:textFill>
              </w:rPr>
              <w:t>t/a；其中水分因温度高而蒸发，损耗水量按98%计，则废</w:t>
            </w:r>
            <w:r>
              <w:rPr>
                <w:rFonts w:hint="eastAsia"/>
                <w:color w:val="000000" w:themeColor="text1"/>
                <w:sz w:val="21"/>
                <w:szCs w:val="24"/>
                <w:lang w:val="en-US" w:eastAsia="zh-CN"/>
                <w14:textFill>
                  <w14:solidFill>
                    <w14:schemeClr w14:val="tx1"/>
                  </w14:solidFill>
                </w14:textFill>
              </w:rPr>
              <w:t>切削液</w:t>
            </w:r>
            <w:r>
              <w:rPr>
                <w:rFonts w:hint="eastAsia" w:ascii="Times New Roman" w:hAnsi="Times New Roman" w:eastAsia="宋体"/>
                <w:color w:val="000000" w:themeColor="text1"/>
                <w:sz w:val="21"/>
                <w:szCs w:val="24"/>
                <w14:textFill>
                  <w14:solidFill>
                    <w14:schemeClr w14:val="tx1"/>
                  </w14:solidFill>
                </w14:textFill>
              </w:rPr>
              <w:t>产生量为</w:t>
            </w:r>
            <w:r>
              <w:rPr>
                <w:rFonts w:hint="eastAsia"/>
                <w:color w:val="000000" w:themeColor="text1"/>
                <w:sz w:val="21"/>
                <w:szCs w:val="24"/>
                <w:lang w:val="en-US" w:eastAsia="zh-CN"/>
                <w14:textFill>
                  <w14:solidFill>
                    <w14:schemeClr w14:val="tx1"/>
                  </w14:solidFill>
                </w14:textFill>
              </w:rPr>
              <w:t>2</w:t>
            </w:r>
            <w:r>
              <w:rPr>
                <w:rFonts w:hint="eastAsia" w:ascii="Times New Roman" w:hAnsi="Times New Roman" w:eastAsia="宋体"/>
                <w:color w:val="000000" w:themeColor="text1"/>
                <w:sz w:val="21"/>
                <w:szCs w:val="24"/>
                <w14:textFill>
                  <w14:solidFill>
                    <w14:schemeClr w14:val="tx1"/>
                  </w14:solidFill>
                </w14:textFill>
              </w:rPr>
              <w:t>0t/a</w:t>
            </w:r>
            <w:r>
              <w:rPr>
                <w:rStyle w:val="94"/>
                <w:rFonts w:hint="eastAsia" w:ascii="Times New Roman" w:hAnsi="Times New Roman"/>
                <w:b w:val="0"/>
                <w:bCs w:val="0"/>
                <w:color w:val="000000" w:themeColor="text1"/>
                <w:sz w:val="21"/>
                <w:szCs w:val="21"/>
                <w:lang w:bidi="ar"/>
                <w14:textFill>
                  <w14:solidFill>
                    <w14:schemeClr w14:val="tx1"/>
                  </w14:solidFill>
                </w14:textFill>
              </w:rPr>
              <w:t>×（1-98%）</w:t>
            </w:r>
            <w:r>
              <w:rPr>
                <w:rStyle w:val="94"/>
                <w:rFonts w:hint="eastAsia" w:ascii="Times New Roman" w:hAnsi="Times New Roman"/>
                <w:color w:val="000000" w:themeColor="text1"/>
                <w:sz w:val="21"/>
                <w:szCs w:val="21"/>
                <w:lang w:bidi="ar"/>
                <w14:textFill>
                  <w14:solidFill>
                    <w14:schemeClr w14:val="tx1"/>
                  </w14:solidFill>
                </w14:textFill>
              </w:rPr>
              <w:t>+</w:t>
            </w:r>
            <w:r>
              <w:rPr>
                <w:rFonts w:hint="eastAsia"/>
                <w:color w:val="000000" w:themeColor="text1"/>
                <w:sz w:val="21"/>
                <w:szCs w:val="24"/>
                <w:lang w:val="en-US" w:eastAsia="zh-CN"/>
                <w14:textFill>
                  <w14:solidFill>
                    <w14:schemeClr w14:val="tx1"/>
                  </w14:solidFill>
                </w14:textFill>
              </w:rPr>
              <w:t>0.95</w:t>
            </w:r>
            <w:r>
              <w:rPr>
                <w:rFonts w:hint="eastAsia" w:ascii="Times New Roman" w:hAnsi="Times New Roman" w:eastAsia="宋体"/>
                <w:color w:val="000000" w:themeColor="text1"/>
                <w:sz w:val="21"/>
                <w:szCs w:val="24"/>
                <w14:textFill>
                  <w14:solidFill>
                    <w14:schemeClr w14:val="tx1"/>
                  </w14:solidFill>
                </w14:textFill>
              </w:rPr>
              <w:t>t/a</w:t>
            </w:r>
            <w:r>
              <w:rPr>
                <w:rStyle w:val="94"/>
                <w:rFonts w:hint="eastAsia" w:ascii="Times New Roman" w:hAnsi="Times New Roman"/>
                <w:color w:val="000000" w:themeColor="text1"/>
                <w:sz w:val="21"/>
                <w:szCs w:val="21"/>
                <w:lang w:bidi="ar"/>
                <w14:textFill>
                  <w14:solidFill>
                    <w14:schemeClr w14:val="tx1"/>
                  </w14:solidFill>
                </w14:textFill>
              </w:rPr>
              <w:t>=</w:t>
            </w:r>
            <w:r>
              <w:rPr>
                <w:rFonts w:hint="eastAsia"/>
                <w:color w:val="000000" w:themeColor="text1"/>
                <w:sz w:val="21"/>
                <w:szCs w:val="24"/>
                <w:lang w:val="en-US" w:eastAsia="zh-CN"/>
                <w14:textFill>
                  <w14:solidFill>
                    <w14:schemeClr w14:val="tx1"/>
                  </w14:solidFill>
                </w14:textFill>
              </w:rPr>
              <w:t>1.35</w:t>
            </w:r>
            <w:r>
              <w:rPr>
                <w:rFonts w:hint="eastAsia" w:ascii="Times New Roman" w:hAnsi="Times New Roman" w:eastAsia="宋体"/>
                <w:color w:val="000000" w:themeColor="text1"/>
                <w:sz w:val="21"/>
                <w:szCs w:val="24"/>
                <w14:textFill>
                  <w14:solidFill>
                    <w14:schemeClr w14:val="tx1"/>
                  </w14:solidFill>
                </w14:textFill>
              </w:rPr>
              <w:t>t/a，收集后交由具有相关危险废物经营许可证的单位处理。</w:t>
            </w:r>
          </w:p>
          <w:p w14:paraId="1F294995">
            <w:pPr>
              <w:numPr>
                <w:ilvl w:val="1"/>
                <w:numId w:val="0"/>
              </w:numPr>
              <w:adjustRightInd w:val="0"/>
              <w:snapToGrid w:val="0"/>
              <w:spacing w:beforeLines="0" w:afterLines="0" w:line="360" w:lineRule="auto"/>
              <w:ind w:firstLine="420"/>
              <w:rPr>
                <w:rFonts w:hint="eastAsia" w:ascii="Times New Roman" w:hAnsi="Times New Roman" w:eastAsia="宋体" w:cs="宋体"/>
                <w:b/>
                <w:color w:val="000000" w:themeColor="text1"/>
                <w:sz w:val="21"/>
                <w:szCs w:val="21"/>
                <w14:textFill>
                  <w14:solidFill>
                    <w14:schemeClr w14:val="tx1"/>
                  </w14:solidFill>
                </w14:textFill>
              </w:rPr>
            </w:pPr>
            <w:r>
              <w:rPr>
                <w:rFonts w:hint="eastAsia" w:ascii="Times New Roman" w:hAnsi="Times New Roman" w:eastAsia="宋体" w:cs="宋体"/>
                <w:b/>
                <w:color w:val="000000" w:themeColor="text1"/>
                <w:sz w:val="21"/>
                <w:szCs w:val="21"/>
                <w:highlight w:val="none"/>
                <w14:textFill>
                  <w14:solidFill>
                    <w14:schemeClr w14:val="tx1"/>
                  </w14:solidFill>
                </w14:textFill>
              </w:rPr>
              <w:t>脱模</w:t>
            </w:r>
            <w:r>
              <w:rPr>
                <w:rFonts w:hint="eastAsia" w:ascii="Times New Roman" w:hAnsi="Times New Roman" w:eastAsia="宋体" w:cs="宋体"/>
                <w:b/>
                <w:color w:val="000000" w:themeColor="text1"/>
                <w:sz w:val="21"/>
                <w:szCs w:val="21"/>
                <w:highlight w:val="none"/>
                <w:lang w:val="en-US" w:eastAsia="zh-CN"/>
                <w14:textFill>
                  <w14:solidFill>
                    <w14:schemeClr w14:val="tx1"/>
                  </w14:solidFill>
                </w14:textFill>
              </w:rPr>
              <w:t>剂调</w:t>
            </w:r>
            <w:r>
              <w:rPr>
                <w:rFonts w:hint="eastAsia" w:ascii="Times New Roman" w:hAnsi="Times New Roman" w:eastAsia="宋体" w:cs="宋体"/>
                <w:b/>
                <w:color w:val="000000" w:themeColor="text1"/>
                <w:sz w:val="21"/>
                <w:szCs w:val="21"/>
                <w:lang w:val="en-US" w:eastAsia="zh-CN"/>
                <w14:textFill>
                  <w14:solidFill>
                    <w14:schemeClr w14:val="tx1"/>
                  </w14:solidFill>
                </w14:textFill>
              </w:rPr>
              <w:t>配</w:t>
            </w:r>
            <w:r>
              <w:rPr>
                <w:rFonts w:hint="eastAsia" w:ascii="Times New Roman" w:hAnsi="Times New Roman" w:eastAsia="宋体" w:cs="宋体"/>
                <w:b/>
                <w:color w:val="000000" w:themeColor="text1"/>
                <w:sz w:val="21"/>
                <w:szCs w:val="21"/>
                <w14:textFill>
                  <w14:solidFill>
                    <w14:schemeClr w14:val="tx1"/>
                  </w14:solidFill>
                </w14:textFill>
              </w:rPr>
              <w:t>用水：</w:t>
            </w:r>
          </w:p>
          <w:p w14:paraId="013C5ADD">
            <w:pPr>
              <w:numPr>
                <w:ilvl w:val="1"/>
                <w:numId w:val="0"/>
              </w:numPr>
              <w:adjustRightInd w:val="0"/>
              <w:snapToGrid w:val="0"/>
              <w:spacing w:beforeLines="0" w:afterLines="0" w:line="360" w:lineRule="auto"/>
              <w:ind w:firstLine="420"/>
              <w:jc w:val="left"/>
              <w:rPr>
                <w:rFonts w:hint="eastAsia" w:ascii="Times New Roman" w:hAnsi="Times New Roman" w:eastAsia="宋体" w:cs="宋体"/>
                <w:b w:val="0"/>
                <w:bCs w:val="0"/>
                <w:color w:val="000000" w:themeColor="text1"/>
                <w:sz w:val="21"/>
                <w:szCs w:val="21"/>
                <w14:textFill>
                  <w14:solidFill>
                    <w14:schemeClr w14:val="tx1"/>
                  </w14:solidFill>
                </w14:textFill>
              </w:rPr>
            </w:pPr>
            <w:r>
              <w:rPr>
                <w:rFonts w:hint="eastAsia" w:ascii="Times New Roman" w:hAnsi="Times New Roman" w:eastAsia="宋体" w:cs="宋体"/>
                <w:b w:val="0"/>
                <w:bCs w:val="0"/>
                <w:color w:val="000000" w:themeColor="text1"/>
                <w:sz w:val="21"/>
                <w:szCs w:val="21"/>
                <w14:textFill>
                  <w14:solidFill>
                    <w14:schemeClr w14:val="tx1"/>
                  </w14:solidFill>
                </w14:textFill>
              </w:rPr>
              <w:t>项目脱模剂使用时需要用水稀释，与水的稀释比例为</w:t>
            </w:r>
            <w:r>
              <w:rPr>
                <w:rFonts w:hint="default" w:ascii="Times New Roman" w:hAnsi="Times New Roman" w:eastAsia="宋体" w:cs="宋体"/>
                <w:b w:val="0"/>
                <w:bCs w:val="0"/>
                <w:color w:val="000000" w:themeColor="text1"/>
                <w:sz w:val="21"/>
                <w:szCs w:val="21"/>
                <w14:textFill>
                  <w14:solidFill>
                    <w14:schemeClr w14:val="tx1"/>
                  </w14:solidFill>
                </w14:textFill>
              </w:rPr>
              <w:t>1:</w:t>
            </w:r>
            <w:r>
              <w:rPr>
                <w:rFonts w:hint="eastAsia" w:cs="宋体"/>
                <w:b w:val="0"/>
                <w:bCs w:val="0"/>
                <w:color w:val="000000" w:themeColor="text1"/>
                <w:sz w:val="21"/>
                <w:szCs w:val="21"/>
                <w:lang w:val="en-US" w:eastAsia="zh-CN"/>
                <w14:textFill>
                  <w14:solidFill>
                    <w14:schemeClr w14:val="tx1"/>
                  </w14:solidFill>
                </w14:textFill>
              </w:rPr>
              <w:t>150</w:t>
            </w:r>
            <w:r>
              <w:rPr>
                <w:rFonts w:hint="eastAsia" w:ascii="Times New Roman" w:hAnsi="Times New Roman" w:eastAsia="宋体" w:cs="宋体"/>
                <w:b w:val="0"/>
                <w:bCs w:val="0"/>
                <w:color w:val="000000" w:themeColor="text1"/>
                <w:sz w:val="21"/>
                <w:szCs w:val="21"/>
                <w14:textFill>
                  <w14:solidFill>
                    <w14:schemeClr w14:val="tx1"/>
                  </w14:solidFill>
                </w14:textFill>
              </w:rPr>
              <w:t>，脱模剂年用量</w:t>
            </w:r>
            <w:r>
              <w:rPr>
                <w:rFonts w:hint="eastAsia" w:cs="宋体"/>
                <w:b w:val="0"/>
                <w:bCs w:val="0"/>
                <w:color w:val="000000" w:themeColor="text1"/>
                <w:sz w:val="21"/>
                <w:szCs w:val="21"/>
                <w:lang w:val="en-US" w:eastAsia="zh-CN"/>
                <w14:textFill>
                  <w14:solidFill>
                    <w14:schemeClr w14:val="tx1"/>
                  </w14:solidFill>
                </w14:textFill>
              </w:rPr>
              <w:t>3</w:t>
            </w:r>
            <w:r>
              <w:rPr>
                <w:rFonts w:hint="default" w:ascii="Times New Roman" w:hAnsi="Times New Roman" w:eastAsia="宋体" w:cs="宋体"/>
                <w:b w:val="0"/>
                <w:bCs w:val="0"/>
                <w:color w:val="000000" w:themeColor="text1"/>
                <w:sz w:val="21"/>
                <w:szCs w:val="21"/>
                <w14:textFill>
                  <w14:solidFill>
                    <w14:schemeClr w14:val="tx1"/>
                  </w14:solidFill>
                </w14:textFill>
              </w:rPr>
              <w:t>t</w:t>
            </w:r>
            <w:r>
              <w:rPr>
                <w:rFonts w:hint="eastAsia" w:ascii="Times New Roman" w:hAnsi="Times New Roman" w:eastAsia="宋体" w:cs="宋体"/>
                <w:b w:val="0"/>
                <w:bCs w:val="0"/>
                <w:color w:val="000000" w:themeColor="text1"/>
                <w:sz w:val="21"/>
                <w:szCs w:val="21"/>
                <w14:textFill>
                  <w14:solidFill>
                    <w14:schemeClr w14:val="tx1"/>
                  </w14:solidFill>
                </w14:textFill>
              </w:rPr>
              <w:t>，则脱模剂调配年用水量为</w:t>
            </w:r>
            <w:r>
              <w:rPr>
                <w:rFonts w:hint="eastAsia" w:cs="宋体"/>
                <w:b w:val="0"/>
                <w:bCs w:val="0"/>
                <w:color w:val="000000" w:themeColor="text1"/>
                <w:sz w:val="21"/>
                <w:szCs w:val="21"/>
                <w:lang w:val="en-US" w:eastAsia="zh-CN"/>
                <w14:textFill>
                  <w14:solidFill>
                    <w14:schemeClr w14:val="tx1"/>
                  </w14:solidFill>
                </w14:textFill>
              </w:rPr>
              <w:t>45</w:t>
            </w:r>
            <w:r>
              <w:rPr>
                <w:rFonts w:hint="eastAsia" w:ascii="Times New Roman" w:hAnsi="Times New Roman" w:eastAsia="宋体" w:cs="宋体"/>
                <w:b w:val="0"/>
                <w:bCs w:val="0"/>
                <w:color w:val="000000" w:themeColor="text1"/>
                <w:sz w:val="21"/>
                <w:szCs w:val="21"/>
                <w14:textFill>
                  <w14:solidFill>
                    <w14:schemeClr w14:val="tx1"/>
                  </w14:solidFill>
                </w14:textFill>
              </w:rPr>
              <w:t>0</w:t>
            </w:r>
            <w:r>
              <w:rPr>
                <w:rFonts w:hint="default" w:ascii="Times New Roman" w:hAnsi="Times New Roman" w:eastAsia="宋体" w:cs="宋体"/>
                <w:b w:val="0"/>
                <w:bCs w:val="0"/>
                <w:color w:val="000000" w:themeColor="text1"/>
                <w:sz w:val="21"/>
                <w:szCs w:val="21"/>
                <w14:textFill>
                  <w14:solidFill>
                    <w14:schemeClr w14:val="tx1"/>
                  </w14:solidFill>
                </w14:textFill>
              </w:rPr>
              <w:t>t</w:t>
            </w:r>
            <w:r>
              <w:rPr>
                <w:rFonts w:hint="eastAsia" w:ascii="Times New Roman" w:hAnsi="Times New Roman" w:eastAsia="宋体" w:cs="宋体"/>
                <w:b w:val="0"/>
                <w:bCs w:val="0"/>
                <w:color w:val="000000" w:themeColor="text1"/>
                <w:sz w:val="21"/>
                <w:szCs w:val="21"/>
                <w14:textFill>
                  <w14:solidFill>
                    <w14:schemeClr w14:val="tx1"/>
                  </w14:solidFill>
                </w14:textFill>
              </w:rPr>
              <w:t>。</w:t>
            </w:r>
            <w:r>
              <w:rPr>
                <w:rFonts w:hint="eastAsia" w:ascii="Times New Roman" w:hAnsi="Times New Roman" w:eastAsia="宋体" w:cs="宋体"/>
                <w:b w:val="0"/>
                <w:bCs w:val="0"/>
                <w:color w:val="000000" w:themeColor="text1"/>
                <w:sz w:val="21"/>
                <w:szCs w:val="21"/>
                <w:lang w:val="en-US" w:eastAsia="zh-CN"/>
                <w14:textFill>
                  <w14:solidFill>
                    <w14:schemeClr w14:val="tx1"/>
                  </w14:solidFill>
                </w14:textFill>
              </w:rPr>
              <w:t>随着模具加温，脱模液</w:t>
            </w:r>
            <w:r>
              <w:rPr>
                <w:rFonts w:hint="eastAsia" w:cs="宋体"/>
                <w:b w:val="0"/>
                <w:bCs w:val="0"/>
                <w:color w:val="000000" w:themeColor="text1"/>
                <w:sz w:val="21"/>
                <w:szCs w:val="21"/>
                <w:lang w:val="en-US" w:eastAsia="zh-CN"/>
                <w14:textFill>
                  <w14:solidFill>
                    <w14:schemeClr w14:val="tx1"/>
                  </w14:solidFill>
                </w14:textFill>
              </w:rPr>
              <w:t>会</w:t>
            </w:r>
            <w:r>
              <w:rPr>
                <w:rFonts w:hint="eastAsia" w:ascii="Times New Roman" w:hAnsi="Times New Roman" w:eastAsia="宋体" w:cs="宋体"/>
                <w:b w:val="0"/>
                <w:bCs w:val="0"/>
                <w:color w:val="000000" w:themeColor="text1"/>
                <w:sz w:val="21"/>
                <w:szCs w:val="21"/>
                <w:lang w:val="en-US" w:eastAsia="zh-CN"/>
                <w14:textFill>
                  <w14:solidFill>
                    <w14:schemeClr w14:val="tx1"/>
                  </w14:solidFill>
                </w14:textFill>
              </w:rPr>
              <w:t>产生少量有机废气及形成脱模所需的薄膜层，其余则蒸发，不产生废液。</w:t>
            </w:r>
          </w:p>
          <w:p w14:paraId="27D781E2">
            <w:pPr>
              <w:numPr>
                <w:ilvl w:val="1"/>
                <w:numId w:val="0"/>
              </w:numPr>
              <w:adjustRightInd w:val="0"/>
              <w:snapToGrid w:val="0"/>
              <w:spacing w:beforeLines="0" w:afterLines="0" w:line="360" w:lineRule="auto"/>
              <w:ind w:firstLine="420"/>
              <w:rPr>
                <w:rFonts w:hint="default" w:ascii="Times New Roman" w:hAnsi="Times New Roman" w:eastAsia="宋体"/>
                <w:b/>
                <w:color w:val="000000" w:themeColor="text1"/>
                <w:sz w:val="21"/>
                <w:szCs w:val="24"/>
                <w14:textFill>
                  <w14:solidFill>
                    <w14:schemeClr w14:val="tx1"/>
                  </w14:solidFill>
                </w14:textFill>
              </w:rPr>
            </w:pPr>
            <w:r>
              <w:rPr>
                <w:rFonts w:hint="eastAsia" w:ascii="Times New Roman" w:hAnsi="Times New Roman" w:eastAsia="宋体"/>
                <w:b/>
                <w:color w:val="000000" w:themeColor="text1"/>
                <w:sz w:val="21"/>
                <w:szCs w:val="24"/>
                <w:highlight w:val="none"/>
                <w14:textFill>
                  <w14:solidFill>
                    <w14:schemeClr w14:val="tx1"/>
                  </w14:solidFill>
                </w14:textFill>
              </w:rPr>
              <w:t>水喷淋用</w:t>
            </w:r>
            <w:r>
              <w:rPr>
                <w:rFonts w:hint="eastAsia" w:ascii="Times New Roman" w:hAnsi="Times New Roman" w:eastAsia="宋体"/>
                <w:b/>
                <w:color w:val="000000" w:themeColor="text1"/>
                <w:sz w:val="21"/>
                <w:szCs w:val="24"/>
                <w14:textFill>
                  <w14:solidFill>
                    <w14:schemeClr w14:val="tx1"/>
                  </w14:solidFill>
                </w14:textFill>
              </w:rPr>
              <w:t>水：</w:t>
            </w:r>
          </w:p>
          <w:p w14:paraId="336EE19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Times New Roman"/>
                <w:color w:val="000000" w:themeColor="text1"/>
                <w:sz w:val="21"/>
                <w:szCs w:val="24"/>
                <w:lang w:val="en-US" w:eastAsia="zh-CN"/>
                <w14:textFill>
                  <w14:solidFill>
                    <w14:schemeClr w14:val="tx1"/>
                  </w14:solidFill>
                </w14:textFill>
              </w:rPr>
            </w:pPr>
            <w:r>
              <w:rPr>
                <w:rFonts w:hint="eastAsia" w:ascii="Times New Roman" w:hAnsi="Times New Roman" w:eastAsia="宋体"/>
                <w:color w:val="000000" w:themeColor="text1"/>
                <w:sz w:val="21"/>
                <w:szCs w:val="24"/>
                <w:lang w:val="en-US" w:eastAsia="zh-CN"/>
                <w14:textFill>
                  <w14:solidFill>
                    <w14:schemeClr w14:val="tx1"/>
                  </w14:solidFill>
                </w14:textFill>
              </w:rPr>
              <w:t>项目在废气治理过程中需要使用水喷淋进行处理。厂区共设</w:t>
            </w:r>
            <w:r>
              <w:rPr>
                <w:rFonts w:hint="eastAsia"/>
                <w:color w:val="000000" w:themeColor="text1"/>
                <w:sz w:val="21"/>
                <w:szCs w:val="24"/>
                <w:lang w:val="en-US" w:eastAsia="zh-CN"/>
                <w14:textFill>
                  <w14:solidFill>
                    <w14:schemeClr w14:val="tx1"/>
                  </w14:solidFill>
                </w14:textFill>
              </w:rPr>
              <w:t>1</w:t>
            </w:r>
            <w:r>
              <w:rPr>
                <w:rFonts w:hint="eastAsia" w:ascii="Times New Roman" w:hAnsi="Times New Roman" w:eastAsia="宋体"/>
                <w:color w:val="000000" w:themeColor="text1"/>
                <w:sz w:val="21"/>
                <w:szCs w:val="24"/>
                <w:lang w:val="en-US" w:eastAsia="zh-CN"/>
                <w14:textFill>
                  <w14:solidFill>
                    <w14:schemeClr w14:val="tx1"/>
                  </w14:solidFill>
                </w14:textFill>
              </w:rPr>
              <w:t>套</w:t>
            </w:r>
            <w:r>
              <w:rPr>
                <w:rFonts w:hint="eastAsia"/>
                <w:color w:val="000000" w:themeColor="text1"/>
                <w:sz w:val="21"/>
                <w:szCs w:val="24"/>
                <w:lang w:val="en-US" w:eastAsia="zh-CN"/>
                <w14:textFill>
                  <w14:solidFill>
                    <w14:schemeClr w14:val="tx1"/>
                  </w14:solidFill>
                </w14:textFill>
              </w:rPr>
              <w:t>喷淋塔</w:t>
            </w:r>
            <w:r>
              <w:rPr>
                <w:rFonts w:hint="eastAsia" w:ascii="Times New Roman" w:hAnsi="Times New Roman" w:eastAsia="宋体"/>
                <w:color w:val="000000" w:themeColor="text1"/>
                <w:sz w:val="21"/>
                <w:szCs w:val="24"/>
                <w:lang w:val="en-US" w:eastAsia="zh-CN"/>
                <w14:textFill>
                  <w14:solidFill>
                    <w14:schemeClr w14:val="tx1"/>
                  </w14:solidFill>
                </w14:textFill>
              </w:rPr>
              <w:t>，单座喷淋塔</w:t>
            </w:r>
            <w:r>
              <w:rPr>
                <w:rFonts w:hint="eastAsia"/>
                <w:color w:val="000000" w:themeColor="text1"/>
                <w:sz w:val="21"/>
                <w:szCs w:val="24"/>
                <w:lang w:val="en-US" w:eastAsia="zh-CN"/>
                <w14:textFill>
                  <w14:solidFill>
                    <w14:schemeClr w14:val="tx1"/>
                  </w14:solidFill>
                </w14:textFill>
              </w:rPr>
              <w:t>尺寸为2.3m*1.5m*3.1m</w:t>
            </w:r>
            <w:r>
              <w:rPr>
                <w:rFonts w:hint="eastAsia" w:ascii="Times New Roman" w:hAnsi="Times New Roman" w:eastAsia="宋体"/>
                <w:color w:val="000000" w:themeColor="text1"/>
                <w:sz w:val="21"/>
                <w:szCs w:val="24"/>
                <w:lang w:val="en-US" w:eastAsia="zh-CN"/>
                <w14:textFill>
                  <w14:solidFill>
                    <w14:schemeClr w14:val="tx1"/>
                  </w14:solidFill>
                </w14:textFill>
              </w:rPr>
              <w:t>，有效深度为0.</w:t>
            </w:r>
            <w:r>
              <w:rPr>
                <w:rFonts w:hint="eastAsia"/>
                <w:color w:val="000000" w:themeColor="text1"/>
                <w:sz w:val="21"/>
                <w:szCs w:val="24"/>
                <w:lang w:val="en-US" w:eastAsia="zh-CN"/>
                <w14:textFill>
                  <w14:solidFill>
                    <w14:schemeClr w14:val="tx1"/>
                  </w14:solidFill>
                </w14:textFill>
              </w:rPr>
              <w:t>4</w:t>
            </w:r>
            <w:r>
              <w:rPr>
                <w:rFonts w:hint="eastAsia" w:ascii="Times New Roman" w:hAnsi="Times New Roman" w:eastAsia="宋体"/>
                <w:color w:val="000000" w:themeColor="text1"/>
                <w:sz w:val="21"/>
                <w:szCs w:val="24"/>
                <w:lang w:val="en-US" w:eastAsia="zh-CN"/>
                <w14:textFill>
                  <w14:solidFill>
                    <w14:schemeClr w14:val="tx1"/>
                  </w14:solidFill>
                </w14:textFill>
              </w:rPr>
              <w:t>m，因此单套喷淋塔水池有效体积约为</w:t>
            </w:r>
            <w:r>
              <w:rPr>
                <w:rFonts w:hint="eastAsia"/>
                <w:color w:val="000000" w:themeColor="text1"/>
                <w:sz w:val="21"/>
                <w:szCs w:val="24"/>
                <w:lang w:val="en-US" w:eastAsia="zh-CN"/>
                <w14:textFill>
                  <w14:solidFill>
                    <w14:schemeClr w14:val="tx1"/>
                  </w14:solidFill>
                </w14:textFill>
              </w:rPr>
              <w:t>1.38</w:t>
            </w:r>
            <w:r>
              <w:rPr>
                <w:rFonts w:hint="eastAsia" w:ascii="Times New Roman" w:hAnsi="Times New Roman" w:eastAsia="宋体"/>
                <w:color w:val="000000" w:themeColor="text1"/>
                <w:sz w:val="21"/>
                <w:szCs w:val="24"/>
                <w:lang w:val="en-US" w:eastAsia="zh-CN"/>
                <w14:textFill>
                  <w14:solidFill>
                    <w14:schemeClr w14:val="tx1"/>
                  </w14:solidFill>
                </w14:textFill>
              </w:rPr>
              <w:t>m</w:t>
            </w:r>
            <w:r>
              <w:rPr>
                <w:rFonts w:hint="eastAsia" w:ascii="Times New Roman" w:hAnsi="Times New Roman" w:eastAsia="宋体"/>
                <w:color w:val="000000" w:themeColor="text1"/>
                <w:sz w:val="21"/>
                <w:szCs w:val="24"/>
                <w:vertAlign w:val="superscript"/>
                <w:lang w:val="en-US" w:eastAsia="zh-CN"/>
                <w14:textFill>
                  <w14:solidFill>
                    <w14:schemeClr w14:val="tx1"/>
                  </w14:solidFill>
                </w14:textFill>
              </w:rPr>
              <w:t>3</w:t>
            </w:r>
            <w:r>
              <w:rPr>
                <w:rFonts w:hint="eastAsia" w:ascii="Times New Roman" w:hAnsi="Times New Roman" w:eastAsia="宋体"/>
                <w:color w:val="000000" w:themeColor="text1"/>
                <w:sz w:val="21"/>
                <w:szCs w:val="24"/>
                <w:lang w:val="en-US" w:eastAsia="zh-CN"/>
                <w14:textFill>
                  <w14:solidFill>
                    <w14:schemeClr w14:val="tx1"/>
                  </w14:solidFill>
                </w14:textFill>
              </w:rPr>
              <w:t>，水喷淋的水经定期捞渣后循环使用，并每</w:t>
            </w:r>
            <w:r>
              <w:rPr>
                <w:rFonts w:hint="eastAsia"/>
                <w:color w:val="000000" w:themeColor="text1"/>
                <w:sz w:val="21"/>
                <w:szCs w:val="24"/>
                <w:lang w:val="en-US" w:eastAsia="zh-CN"/>
                <w14:textFill>
                  <w14:solidFill>
                    <w14:schemeClr w14:val="tx1"/>
                  </w14:solidFill>
                </w14:textFill>
              </w:rPr>
              <w:t>两个</w:t>
            </w:r>
            <w:r>
              <w:rPr>
                <w:rFonts w:hint="eastAsia" w:ascii="Times New Roman" w:hAnsi="Times New Roman" w:eastAsia="宋体"/>
                <w:color w:val="000000" w:themeColor="text1"/>
                <w:sz w:val="21"/>
                <w:szCs w:val="24"/>
                <w:lang w:val="en-US" w:eastAsia="zh-CN"/>
                <w14:textFill>
                  <w14:solidFill>
                    <w14:schemeClr w14:val="tx1"/>
                  </w14:solidFill>
                </w14:textFill>
              </w:rPr>
              <w:t>月更换一次，则水喷淋废水的产生量为</w:t>
            </w:r>
            <w:r>
              <w:rPr>
                <w:rFonts w:hint="eastAsia"/>
                <w:color w:val="000000" w:themeColor="text1"/>
                <w:sz w:val="21"/>
                <w:szCs w:val="24"/>
                <w:lang w:val="en-US" w:eastAsia="zh-CN"/>
                <w14:textFill>
                  <w14:solidFill>
                    <w14:schemeClr w14:val="tx1"/>
                  </w14:solidFill>
                </w14:textFill>
              </w:rPr>
              <w:t>1.38</w:t>
            </w:r>
            <w:r>
              <w:rPr>
                <w:rFonts w:hint="eastAsia" w:ascii="Times New Roman" w:hAnsi="Times New Roman" w:eastAsia="宋体"/>
                <w:color w:val="000000" w:themeColor="text1"/>
                <w:sz w:val="21"/>
                <w:szCs w:val="24"/>
                <w:lang w:val="en-US" w:eastAsia="zh-CN"/>
                <w14:textFill>
                  <w14:solidFill>
                    <w14:schemeClr w14:val="tx1"/>
                  </w14:solidFill>
                </w14:textFill>
              </w:rPr>
              <w:t>m³/次（</w:t>
            </w:r>
            <w:r>
              <w:rPr>
                <w:rFonts w:hint="eastAsia"/>
                <w:color w:val="000000" w:themeColor="text1"/>
                <w:sz w:val="21"/>
                <w:szCs w:val="24"/>
                <w:lang w:val="en-US" w:eastAsia="zh-CN"/>
                <w14:textFill>
                  <w14:solidFill>
                    <w14:schemeClr w14:val="tx1"/>
                  </w14:solidFill>
                </w14:textFill>
              </w:rPr>
              <w:t>8.28</w:t>
            </w:r>
            <w:r>
              <w:rPr>
                <w:rFonts w:hint="eastAsia" w:ascii="Times New Roman" w:hAnsi="Times New Roman" w:eastAsia="宋体"/>
                <w:color w:val="000000" w:themeColor="text1"/>
                <w:sz w:val="21"/>
                <w:szCs w:val="24"/>
                <w:lang w:val="en-US" w:eastAsia="zh-CN"/>
                <w14:textFill>
                  <w14:solidFill>
                    <w14:schemeClr w14:val="tx1"/>
                  </w14:solidFill>
                </w14:textFill>
              </w:rPr>
              <w:t>m³/a），收集后委托给有处理能力的废水处理机构处理；</w:t>
            </w:r>
            <w:r>
              <w:rPr>
                <w:rFonts w:hint="default" w:ascii="Times New Roman" w:hAnsi="Times New Roman" w:eastAsia="宋体" w:cs="Times New Roman"/>
                <w:color w:val="000000" w:themeColor="text1"/>
                <w:sz w:val="21"/>
                <w:szCs w:val="24"/>
                <w:lang w:val="en-US" w:eastAsia="zh-CN"/>
                <w14:textFill>
                  <w14:solidFill>
                    <w14:schemeClr w14:val="tx1"/>
                  </w14:solidFill>
                </w14:textFill>
              </w:rPr>
              <w:t>另外喷淋使用过程中会发生一定损耗，根据企业提供，气液比为2</w:t>
            </w:r>
            <w:r>
              <w:rPr>
                <w:rFonts w:hint="eastAsia" w:ascii="Times New Roman" w:hAnsi="Times New Roman" w:eastAsia="宋体" w:cs="Times New Roman"/>
                <w:color w:val="000000" w:themeColor="text1"/>
                <w:sz w:val="21"/>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4"/>
                <w:lang w:val="en-US" w:eastAsia="zh-CN"/>
                <w14:textFill>
                  <w14:solidFill>
                    <w14:schemeClr w14:val="tx1"/>
                  </w14:solidFill>
                </w14:textFill>
              </w:rPr>
              <w:t>L/m</w:t>
            </w:r>
            <w:r>
              <w:rPr>
                <w:rFonts w:hint="default" w:ascii="Times New Roman" w:hAnsi="Times New Roman" w:eastAsia="宋体" w:cs="Times New Roman"/>
                <w:color w:val="000000" w:themeColor="text1"/>
                <w:sz w:val="21"/>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4"/>
                <w:lang w:val="en-US" w:eastAsia="zh-CN"/>
                <w14:textFill>
                  <w14:solidFill>
                    <w14:schemeClr w14:val="tx1"/>
                  </w14:solidFill>
                </w14:textFill>
              </w:rPr>
              <w:t>，则补充水量为</w:t>
            </w:r>
            <w:r>
              <w:rPr>
                <w:rFonts w:hint="eastAsia" w:ascii="Times New Roman" w:hAnsi="Times New Roman" w:eastAsia="宋体" w:cs="Times New Roman"/>
                <w:color w:val="000000" w:themeColor="text1"/>
                <w:sz w:val="21"/>
                <w:szCs w:val="24"/>
                <w:lang w:val="en-US" w:eastAsia="zh-CN"/>
                <w14:textFill>
                  <w14:solidFill>
                    <w14:schemeClr w14:val="tx1"/>
                  </w14:solidFill>
                </w14:textFill>
              </w:rPr>
              <w:t>1800</w:t>
            </w:r>
            <w:r>
              <w:rPr>
                <w:rFonts w:hint="default" w:ascii="Times New Roman" w:hAnsi="Times New Roman" w:eastAsia="宋体" w:cs="Times New Roman"/>
                <w:color w:val="000000" w:themeColor="text1"/>
                <w:sz w:val="21"/>
                <w:szCs w:val="24"/>
                <w:lang w:val="en-US" w:eastAsia="zh-CN"/>
                <w14:textFill>
                  <w14:solidFill>
                    <w14:schemeClr w14:val="tx1"/>
                  </w14:solidFill>
                </w14:textFill>
              </w:rPr>
              <w:t>m³/a。综上可知，喷淋废水的产生量为</w:t>
            </w:r>
            <w:r>
              <w:rPr>
                <w:rFonts w:hint="eastAsia" w:ascii="Times New Roman" w:hAnsi="Times New Roman" w:eastAsia="宋体" w:cs="Times New Roman"/>
                <w:color w:val="000000" w:themeColor="text1"/>
                <w:sz w:val="21"/>
                <w:szCs w:val="24"/>
                <w:lang w:val="en-US" w:eastAsia="zh-CN"/>
                <w14:textFill>
                  <w14:solidFill>
                    <w14:schemeClr w14:val="tx1"/>
                  </w14:solidFill>
                </w14:textFill>
              </w:rPr>
              <w:t>8.28t</w:t>
            </w:r>
            <w:r>
              <w:rPr>
                <w:rFonts w:hint="default" w:ascii="Times New Roman" w:hAnsi="Times New Roman" w:eastAsia="宋体" w:cs="Times New Roman"/>
                <w:color w:val="000000" w:themeColor="text1"/>
                <w:sz w:val="21"/>
                <w:szCs w:val="24"/>
                <w:lang w:val="en-US" w:eastAsia="zh-CN"/>
                <w14:textFill>
                  <w14:solidFill>
                    <w14:schemeClr w14:val="tx1"/>
                  </w14:solidFill>
                </w14:textFill>
              </w:rPr>
              <w:t>/a，蒸发损耗水量为1</w:t>
            </w:r>
            <w:r>
              <w:rPr>
                <w:rFonts w:hint="eastAsia" w:ascii="Times New Roman" w:hAnsi="Times New Roman" w:eastAsia="宋体" w:cs="Times New Roman"/>
                <w:color w:val="000000" w:themeColor="text1"/>
                <w:sz w:val="21"/>
                <w:szCs w:val="24"/>
                <w:lang w:val="en-US" w:eastAsia="zh-CN"/>
                <w14:textFill>
                  <w14:solidFill>
                    <w14:schemeClr w14:val="tx1"/>
                  </w14:solidFill>
                </w14:textFill>
              </w:rPr>
              <w:t>800t</w:t>
            </w:r>
            <w:r>
              <w:rPr>
                <w:rFonts w:hint="default" w:ascii="Times New Roman" w:hAnsi="Times New Roman" w:eastAsia="宋体" w:cs="Times New Roman"/>
                <w:color w:val="000000" w:themeColor="text1"/>
                <w:sz w:val="21"/>
                <w:szCs w:val="24"/>
                <w:lang w:val="en-US" w:eastAsia="zh-CN"/>
                <w14:textFill>
                  <w14:solidFill>
                    <w14:schemeClr w14:val="tx1"/>
                  </w14:solidFill>
                </w14:textFill>
              </w:rPr>
              <w:t>/a，则总</w:t>
            </w:r>
            <w:r>
              <w:rPr>
                <w:rFonts w:hint="eastAsia" w:ascii="Times New Roman" w:hAnsi="Times New Roman" w:eastAsia="宋体" w:cs="Times New Roman"/>
                <w:color w:val="000000" w:themeColor="text1"/>
                <w:sz w:val="21"/>
                <w:szCs w:val="24"/>
                <w:lang w:val="en-US" w:eastAsia="zh-CN"/>
                <w14:textFill>
                  <w14:solidFill>
                    <w14:schemeClr w14:val="tx1"/>
                  </w14:solidFill>
                </w14:textFill>
              </w:rPr>
              <w:t>用水</w:t>
            </w:r>
            <w:r>
              <w:rPr>
                <w:rFonts w:hint="default" w:ascii="Times New Roman" w:hAnsi="Times New Roman" w:eastAsia="宋体" w:cs="Times New Roman"/>
                <w:color w:val="000000" w:themeColor="text1"/>
                <w:sz w:val="21"/>
                <w:szCs w:val="24"/>
                <w:lang w:val="en-US" w:eastAsia="zh-CN"/>
                <w14:textFill>
                  <w14:solidFill>
                    <w14:schemeClr w14:val="tx1"/>
                  </w14:solidFill>
                </w14:textFill>
              </w:rPr>
              <w:t>量为1</w:t>
            </w:r>
            <w:r>
              <w:rPr>
                <w:rFonts w:hint="eastAsia" w:ascii="Times New Roman" w:hAnsi="Times New Roman" w:eastAsia="宋体" w:cs="Times New Roman"/>
                <w:color w:val="000000" w:themeColor="text1"/>
                <w:sz w:val="21"/>
                <w:szCs w:val="24"/>
                <w:lang w:val="en-US" w:eastAsia="zh-CN"/>
                <w14:textFill>
                  <w14:solidFill>
                    <w14:schemeClr w14:val="tx1"/>
                  </w14:solidFill>
                </w14:textFill>
              </w:rPr>
              <w:t>808.28t/a。</w:t>
            </w:r>
          </w:p>
          <w:p w14:paraId="5887D4EE">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center"/>
              <w:textAlignment w:val="cente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表10喷淋塔用排水一览表</w:t>
            </w:r>
          </w:p>
          <w:tbl>
            <w:tblPr>
              <w:tblStyle w:val="33"/>
              <w:tblW w:w="80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38"/>
              <w:gridCol w:w="781"/>
              <w:gridCol w:w="692"/>
              <w:gridCol w:w="1303"/>
              <w:gridCol w:w="441"/>
              <w:gridCol w:w="441"/>
              <w:gridCol w:w="502"/>
              <w:gridCol w:w="455"/>
              <w:gridCol w:w="442"/>
              <w:gridCol w:w="442"/>
              <w:gridCol w:w="443"/>
              <w:gridCol w:w="458"/>
              <w:gridCol w:w="444"/>
              <w:gridCol w:w="458"/>
              <w:gridCol w:w="686"/>
            </w:tblGrid>
            <w:tr w14:paraId="0D222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8" w:hRule="atLeast"/>
                <w:jc w:val="center"/>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C2D3">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序号</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40AD7">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废气类型</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5BBF">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单套设施设计风量</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m³/h</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9C9C1">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尺寸m</w:t>
                  </w:r>
                </w:p>
              </w:tc>
              <w:tc>
                <w:tcPr>
                  <w:tcW w:w="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038E4">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喷淋塔数量</w:t>
                  </w:r>
                </w:p>
              </w:tc>
              <w:tc>
                <w:tcPr>
                  <w:tcW w:w="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C707">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水池高度m</w:t>
                  </w:r>
                </w:p>
              </w:tc>
              <w:tc>
                <w:tcPr>
                  <w:tcW w:w="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4EE05">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蓄水量t</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AB39C">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液气比L/m</w:t>
                  </w:r>
                  <w:r>
                    <w:rPr>
                      <w:rFonts w:hint="default" w:ascii="Times New Roman" w:hAnsi="Times New Roman" w:eastAsia="宋体" w:cs="Times New Roman"/>
                      <w:b/>
                      <w:bCs/>
                      <w:color w:val="000000" w:themeColor="text1"/>
                      <w:kern w:val="0"/>
                      <w:sz w:val="21"/>
                      <w:szCs w:val="21"/>
                      <w:highlight w:val="none"/>
                      <w:vertAlign w:val="superscript"/>
                      <w:lang w:val="en-US" w:eastAsia="zh-CN" w:bidi="ar"/>
                      <w14:textFill>
                        <w14:solidFill>
                          <w14:schemeClr w14:val="tx1"/>
                        </w14:solidFill>
                      </w14:textFill>
                    </w:rPr>
                    <w:t>3</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5814">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设计循环水量m/h</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3C481">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损耗率%</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96C3">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喷淋</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br w:type="textWrapping"/>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塔工作时间h/a</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7C444">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补</w:t>
                  </w:r>
                  <w:r>
                    <w:rPr>
                      <w:rFonts w:hint="eastAsia" w:cs="Times New Roman"/>
                      <w:b/>
                      <w:bCs/>
                      <w:color w:val="000000" w:themeColor="text1"/>
                      <w:kern w:val="0"/>
                      <w:sz w:val="21"/>
                      <w:szCs w:val="21"/>
                      <w:highlight w:val="none"/>
                      <w:lang w:val="en-US" w:eastAsia="zh-CN" w:bidi="ar"/>
                      <w14:textFill>
                        <w14:solidFill>
                          <w14:schemeClr w14:val="tx1"/>
                        </w14:solidFill>
                      </w14:textFill>
                    </w:rPr>
                    <w:t>充水</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量</w:t>
                  </w:r>
                  <w:r>
                    <w:rPr>
                      <w:rFonts w:hint="eastAsia" w:cs="Times New Roman"/>
                      <w:b/>
                      <w:bCs/>
                      <w:color w:val="000000" w:themeColor="text1"/>
                      <w:kern w:val="0"/>
                      <w:sz w:val="21"/>
                      <w:szCs w:val="21"/>
                      <w:highlight w:val="none"/>
                      <w:lang w:val="en-US" w:eastAsia="zh-CN" w:bidi="ar"/>
                      <w14:textFill>
                        <w14:solidFill>
                          <w14:schemeClr w14:val="tx1"/>
                        </w14:solidFill>
                      </w14:textFill>
                    </w:rPr>
                    <w:t>m³</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/a</w:t>
                  </w: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68A49">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年更换频次</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1B7D">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更换量</w:t>
                  </w:r>
                  <w:r>
                    <w:rPr>
                      <w:rFonts w:hint="eastAsia" w:cs="Times New Roman"/>
                      <w:b/>
                      <w:bCs/>
                      <w:color w:val="000000" w:themeColor="text1"/>
                      <w:kern w:val="0"/>
                      <w:sz w:val="21"/>
                      <w:szCs w:val="21"/>
                      <w:highlight w:val="none"/>
                      <w:lang w:val="en-US" w:eastAsia="zh-CN" w:bidi="ar"/>
                      <w14:textFill>
                        <w14:solidFill>
                          <w14:schemeClr w14:val="tx1"/>
                        </w14:solidFill>
                      </w14:textFill>
                    </w:rPr>
                    <w:t>m³</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/a</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20D8D">
                  <w:pPr>
                    <w:keepNext w:val="0"/>
                    <w:keepLines w:val="0"/>
                    <w:widowControl/>
                    <w:suppressLineNumbers w:val="0"/>
                    <w:wordWrap/>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cs="Times New Roman"/>
                      <w:b/>
                      <w:bCs/>
                      <w:color w:val="000000" w:themeColor="text1"/>
                      <w:kern w:val="0"/>
                      <w:sz w:val="21"/>
                      <w:szCs w:val="21"/>
                      <w:highlight w:val="none"/>
                      <w:lang w:val="en-US" w:eastAsia="zh-CN" w:bidi="ar"/>
                      <w14:textFill>
                        <w14:solidFill>
                          <w14:schemeClr w14:val="tx1"/>
                        </w14:solidFill>
                      </w14:textFill>
                    </w:rPr>
                    <w:t>用水</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量</w:t>
                  </w:r>
                  <w:r>
                    <w:rPr>
                      <w:rFonts w:hint="eastAsia" w:cs="Times New Roman"/>
                      <w:b/>
                      <w:bCs/>
                      <w:color w:val="000000" w:themeColor="text1"/>
                      <w:kern w:val="0"/>
                      <w:sz w:val="21"/>
                      <w:szCs w:val="21"/>
                      <w:highlight w:val="none"/>
                      <w:lang w:val="en-US" w:eastAsia="zh-CN" w:bidi="ar"/>
                      <w14:textFill>
                        <w14:solidFill>
                          <w14:schemeClr w14:val="tx1"/>
                        </w14:solidFill>
                      </w14:textFill>
                    </w:rPr>
                    <w:t>m³</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/a</w:t>
                  </w:r>
                </w:p>
              </w:tc>
            </w:tr>
            <w:tr w14:paraId="02172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8" w:hRule="atLeast"/>
                <w:jc w:val="center"/>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3DA9A">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49798">
                  <w:pPr>
                    <w:keepNext w:val="0"/>
                    <w:keepLines w:val="0"/>
                    <w:widowControl/>
                    <w:suppressLineNumbers w:val="0"/>
                    <w:wordWrap/>
                    <w:spacing w:line="240" w:lineRule="auto"/>
                    <w:jc w:val="both"/>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非甲烷总烃、TVOC、</w:t>
                  </w:r>
                </w:p>
                <w:p w14:paraId="638ED518">
                  <w:pPr>
                    <w:keepNext w:val="0"/>
                    <w:keepLines w:val="0"/>
                    <w:widowControl/>
                    <w:suppressLineNumbers w:val="0"/>
                    <w:wordWrap/>
                    <w:spacing w:line="240" w:lineRule="auto"/>
                    <w:jc w:val="both"/>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p w14:paraId="5E2D9647">
                  <w:pPr>
                    <w:keepNext w:val="0"/>
                    <w:keepLines w:val="0"/>
                    <w:widowControl/>
                    <w:suppressLineNumbers w:val="0"/>
                    <w:wordWrap/>
                    <w:spacing w:line="240" w:lineRule="auto"/>
                    <w:jc w:val="both"/>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二氧化硫、氮氧化物、林格曼黑度、臭气浓度</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8477F">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000</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CB5D5">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w:t>
                  </w:r>
                </w:p>
              </w:tc>
              <w:tc>
                <w:tcPr>
                  <w:tcW w:w="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6DA51">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0D6B">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w:t>
                  </w:r>
                </w:p>
              </w:tc>
              <w:tc>
                <w:tcPr>
                  <w:tcW w:w="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E6EB">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38</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38EFC">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D198">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37.5</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E3483">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F1C6">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2400</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4F17">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1800</w:t>
                  </w: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3C30">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6</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BDD64">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8.28</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5F24">
                  <w:pPr>
                    <w:keepNext w:val="0"/>
                    <w:keepLines w:val="0"/>
                    <w:widowControl/>
                    <w:suppressLineNumbers w:val="0"/>
                    <w:wordWrap/>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1808.28</w:t>
                  </w:r>
                </w:p>
              </w:tc>
            </w:tr>
          </w:tbl>
          <w:p w14:paraId="496A42A5">
            <w:pPr>
              <w:numPr>
                <w:ilvl w:val="1"/>
                <w:numId w:val="0"/>
              </w:numPr>
              <w:adjustRightInd w:val="0"/>
              <w:snapToGrid w:val="0"/>
              <w:spacing w:beforeLines="0" w:afterLines="0" w:line="360" w:lineRule="auto"/>
              <w:ind w:firstLine="420"/>
              <w:jc w:val="left"/>
              <w:rPr>
                <w:rFonts w:hint="eastAsia" w:ascii="Times New Roman" w:hAnsi="Times New Roman" w:eastAsia="宋体"/>
                <w:b w:val="0"/>
                <w:bCs/>
                <w:color w:val="000000" w:themeColor="text1"/>
                <w:sz w:val="21"/>
                <w:szCs w:val="24"/>
                <w14:textFill>
                  <w14:solidFill>
                    <w14:schemeClr w14:val="tx1"/>
                  </w14:solidFill>
                </w14:textFill>
              </w:rPr>
            </w:pPr>
            <w:r>
              <w:rPr>
                <w:rFonts w:hint="eastAsia" w:ascii="Times New Roman" w:hAnsi="Times New Roman" w:eastAsia="宋体"/>
                <w:b/>
                <w:color w:val="000000" w:themeColor="text1"/>
                <w:sz w:val="21"/>
                <w:szCs w:val="24"/>
                <w:highlight w:val="none"/>
                <w14:textFill>
                  <w14:solidFill>
                    <w14:schemeClr w14:val="tx1"/>
                  </w14:solidFill>
                </w14:textFill>
              </w:rPr>
              <w:t>抛光用</w:t>
            </w:r>
            <w:r>
              <w:rPr>
                <w:rFonts w:hint="eastAsia" w:ascii="Times New Roman" w:hAnsi="Times New Roman" w:eastAsia="宋体"/>
                <w:b/>
                <w:color w:val="000000" w:themeColor="text1"/>
                <w:sz w:val="21"/>
                <w:szCs w:val="24"/>
                <w14:textFill>
                  <w14:solidFill>
                    <w14:schemeClr w14:val="tx1"/>
                  </w14:solidFill>
                </w14:textFill>
              </w:rPr>
              <w:t>水：</w:t>
            </w:r>
          </w:p>
          <w:p w14:paraId="43B63203">
            <w:pPr>
              <w:keepNext w:val="0"/>
              <w:keepLines w:val="0"/>
              <w:pageBreakBefore w:val="0"/>
              <w:widowControl w:val="0"/>
              <w:numPr>
                <w:ilvl w:val="1"/>
                <w:numId w:val="0"/>
              </w:numPr>
              <w:kinsoku/>
              <w:wordWrap w:val="0"/>
              <w:overflowPunct/>
              <w:topLinePunct w:val="0"/>
              <w:autoSpaceDE/>
              <w:autoSpaceDN/>
              <w:bidi w:val="0"/>
              <w:adjustRightInd w:val="0"/>
              <w:snapToGrid w:val="0"/>
              <w:spacing w:beforeLines="0" w:afterLines="0" w:line="360" w:lineRule="auto"/>
              <w:ind w:firstLine="420"/>
              <w:jc w:val="left"/>
              <w:textAlignment w:val="auto"/>
              <w:rPr>
                <w:rFonts w:hint="eastAsia" w:ascii="Times New Roman" w:hAnsi="Times New Roman" w:eastAsia="宋体"/>
                <w:color w:val="000000" w:themeColor="text1"/>
                <w:sz w:val="21"/>
                <w:szCs w:val="24"/>
                <w14:textFill>
                  <w14:solidFill>
                    <w14:schemeClr w14:val="tx1"/>
                  </w14:solidFill>
                </w14:textFill>
              </w:rPr>
            </w:pPr>
            <w:r>
              <w:rPr>
                <w:rFonts w:hint="eastAsia" w:ascii="Times New Roman" w:hAnsi="Times New Roman" w:eastAsia="宋体"/>
                <w:b w:val="0"/>
                <w:bCs/>
                <w:color w:val="000000" w:themeColor="text1"/>
                <w:sz w:val="21"/>
                <w:szCs w:val="24"/>
                <w:lang w:val="en-US" w:eastAsia="zh-CN"/>
                <w14:textFill>
                  <w14:solidFill>
                    <w14:schemeClr w14:val="tx1"/>
                  </w14:solidFill>
                </w14:textFill>
              </w:rPr>
              <w:t>项目抛光工序产生抛光机配套废气处理设施废水</w:t>
            </w:r>
            <w:r>
              <w:rPr>
                <w:rFonts w:hint="eastAsia" w:ascii="Times New Roman" w:hAnsi="Times New Roman" w:eastAsia="宋体"/>
                <w:b w:val="0"/>
                <w:bCs/>
                <w:color w:val="000000" w:themeColor="text1"/>
                <w:sz w:val="21"/>
                <w:szCs w:val="24"/>
                <w14:textFill>
                  <w14:solidFill>
                    <w14:schemeClr w14:val="tx1"/>
                  </w14:solidFill>
                </w14:textFill>
              </w:rPr>
              <w:t>，</w:t>
            </w:r>
            <w:r>
              <w:rPr>
                <w:rFonts w:hint="default" w:ascii="Times New Roman" w:hAnsi="Times New Roman" w:eastAsia="宋体" w:cs="Times New Roman"/>
                <w:b w:val="0"/>
                <w:bCs/>
                <w:color w:val="000000" w:themeColor="text1"/>
                <w:sz w:val="21"/>
                <w:szCs w:val="24"/>
                <w14:textFill>
                  <w14:solidFill>
                    <w14:schemeClr w14:val="tx1"/>
                  </w14:solidFill>
                </w14:textFill>
              </w:rPr>
              <w:t>由1个尺寸为</w:t>
            </w:r>
            <w:r>
              <w:rPr>
                <w:rStyle w:val="94"/>
                <w:rFonts w:hint="default" w:ascii="Times New Roman" w:hAnsi="Times New Roman" w:cs="Times New Roman"/>
                <w:b w:val="0"/>
                <w:bCs/>
                <w:color w:val="000000" w:themeColor="text1"/>
                <w:sz w:val="21"/>
                <w:szCs w:val="21"/>
                <w:lang w:val="en-US" w:eastAsia="zh-CN" w:bidi="ar"/>
                <w14:textFill>
                  <w14:solidFill>
                    <w14:schemeClr w14:val="tx1"/>
                  </w14:solidFill>
                </w14:textFill>
              </w:rPr>
              <w:t>2</w:t>
            </w:r>
            <w:r>
              <w:rPr>
                <w:rStyle w:val="94"/>
                <w:rFonts w:hint="default" w:ascii="Times New Roman" w:hAnsi="Times New Roman" w:cs="Times New Roman"/>
                <w:b w:val="0"/>
                <w:bCs/>
                <w:color w:val="000000" w:themeColor="text1"/>
                <w:sz w:val="21"/>
                <w:szCs w:val="21"/>
                <w:lang w:bidi="ar"/>
                <w14:textFill>
                  <w14:solidFill>
                    <w14:schemeClr w14:val="tx1"/>
                  </w14:solidFill>
                </w14:textFill>
              </w:rPr>
              <w:t>m×</w:t>
            </w:r>
            <w:r>
              <w:rPr>
                <w:rStyle w:val="94"/>
                <w:rFonts w:hint="default" w:ascii="Times New Roman" w:hAnsi="Times New Roman" w:cs="Times New Roman"/>
                <w:b w:val="0"/>
                <w:bCs/>
                <w:color w:val="000000" w:themeColor="text1"/>
                <w:sz w:val="21"/>
                <w:szCs w:val="21"/>
                <w:lang w:val="en-US" w:eastAsia="zh-CN" w:bidi="ar"/>
                <w14:textFill>
                  <w14:solidFill>
                    <w14:schemeClr w14:val="tx1"/>
                  </w14:solidFill>
                </w14:textFill>
              </w:rPr>
              <w:t>2</w:t>
            </w:r>
            <w:r>
              <w:rPr>
                <w:rStyle w:val="94"/>
                <w:rFonts w:hint="default" w:ascii="Times New Roman" w:hAnsi="Times New Roman" w:cs="Times New Roman"/>
                <w:b w:val="0"/>
                <w:bCs/>
                <w:color w:val="000000" w:themeColor="text1"/>
                <w:sz w:val="21"/>
                <w:szCs w:val="21"/>
                <w:lang w:bidi="ar"/>
                <w14:textFill>
                  <w14:solidFill>
                    <w14:schemeClr w14:val="tx1"/>
                  </w14:solidFill>
                </w14:textFill>
              </w:rPr>
              <w:t>m×</w:t>
            </w:r>
            <w:r>
              <w:rPr>
                <w:rStyle w:val="94"/>
                <w:rFonts w:hint="default" w:ascii="Times New Roman" w:hAnsi="Times New Roman" w:cs="Times New Roman"/>
                <w:b w:val="0"/>
                <w:bCs/>
                <w:color w:val="000000" w:themeColor="text1"/>
                <w:sz w:val="21"/>
                <w:szCs w:val="21"/>
                <w:lang w:val="en-US" w:eastAsia="zh-CN" w:bidi="ar"/>
                <w14:textFill>
                  <w14:solidFill>
                    <w14:schemeClr w14:val="tx1"/>
                  </w14:solidFill>
                </w14:textFill>
              </w:rPr>
              <w:t>0.25</w:t>
            </w:r>
            <w:r>
              <w:rPr>
                <w:rStyle w:val="94"/>
                <w:rFonts w:hint="default" w:ascii="Times New Roman" w:hAnsi="Times New Roman" w:cs="Times New Roman"/>
                <w:b w:val="0"/>
                <w:bCs/>
                <w:color w:val="000000" w:themeColor="text1"/>
                <w:sz w:val="21"/>
                <w:szCs w:val="21"/>
                <w:lang w:bidi="ar"/>
                <w14:textFill>
                  <w14:solidFill>
                    <w14:schemeClr w14:val="tx1"/>
                  </w14:solidFill>
                </w14:textFill>
              </w:rPr>
              <w:t>m的循环水池供水，有效水深0.</w:t>
            </w:r>
            <w:r>
              <w:rPr>
                <w:rStyle w:val="94"/>
                <w:rFonts w:hint="default" w:ascii="Times New Roman" w:hAnsi="Times New Roman" w:cs="Times New Roman"/>
                <w:b w:val="0"/>
                <w:bCs/>
                <w:color w:val="000000" w:themeColor="text1"/>
                <w:sz w:val="21"/>
                <w:szCs w:val="21"/>
                <w:lang w:val="en-US" w:eastAsia="zh-CN" w:bidi="ar"/>
                <w14:textFill>
                  <w14:solidFill>
                    <w14:schemeClr w14:val="tx1"/>
                  </w14:solidFill>
                </w14:textFill>
              </w:rPr>
              <w:t>2</w:t>
            </w:r>
            <w:r>
              <w:rPr>
                <w:rStyle w:val="94"/>
                <w:rFonts w:hint="default" w:ascii="Times New Roman" w:hAnsi="Times New Roman" w:cs="Times New Roman"/>
                <w:b w:val="0"/>
                <w:bCs/>
                <w:color w:val="000000" w:themeColor="text1"/>
                <w:sz w:val="21"/>
                <w:szCs w:val="21"/>
                <w:lang w:bidi="ar"/>
                <w14:textFill>
                  <w14:solidFill>
                    <w14:schemeClr w14:val="tx1"/>
                  </w14:solidFill>
                </w14:textFill>
              </w:rPr>
              <w:t>m，</w:t>
            </w:r>
            <w:r>
              <w:rPr>
                <w:rStyle w:val="94"/>
                <w:rFonts w:hint="eastAsia" w:ascii="Times New Roman" w:hAnsi="Times New Roman"/>
                <w:b w:val="0"/>
                <w:bCs/>
                <w:color w:val="000000" w:themeColor="text1"/>
                <w:sz w:val="21"/>
                <w:szCs w:val="21"/>
                <w:lang w:bidi="ar"/>
                <w14:textFill>
                  <w14:solidFill>
                    <w14:schemeClr w14:val="tx1"/>
                  </w14:solidFill>
                </w14:textFill>
              </w:rPr>
              <w:t>单个水池</w:t>
            </w:r>
            <w:r>
              <w:rPr>
                <w:rStyle w:val="94"/>
                <w:rFonts w:hint="eastAsia"/>
                <w:b w:val="0"/>
                <w:bCs/>
                <w:color w:val="000000" w:themeColor="text1"/>
                <w:sz w:val="21"/>
                <w:szCs w:val="21"/>
                <w:lang w:val="en-US" w:eastAsia="zh-CN" w:bidi="ar"/>
                <w14:textFill>
                  <w14:solidFill>
                    <w14:schemeClr w14:val="tx1"/>
                  </w14:solidFill>
                </w14:textFill>
              </w:rPr>
              <w:t>有效</w:t>
            </w:r>
            <w:r>
              <w:rPr>
                <w:rStyle w:val="94"/>
                <w:rFonts w:hint="eastAsia" w:ascii="Times New Roman" w:hAnsi="Times New Roman"/>
                <w:b w:val="0"/>
                <w:bCs/>
                <w:color w:val="000000" w:themeColor="text1"/>
                <w:sz w:val="21"/>
                <w:szCs w:val="21"/>
                <w:lang w:bidi="ar"/>
                <w14:textFill>
                  <w14:solidFill>
                    <w14:schemeClr w14:val="tx1"/>
                  </w14:solidFill>
                </w14:textFill>
              </w:rPr>
              <w:t>容积为</w:t>
            </w:r>
            <w:r>
              <w:rPr>
                <w:rStyle w:val="94"/>
                <w:rFonts w:hint="default" w:ascii="Times New Roman" w:hAnsi="Times New Roman" w:cs="Times New Roman"/>
                <w:b w:val="0"/>
                <w:bCs/>
                <w:color w:val="000000" w:themeColor="text1"/>
                <w:sz w:val="21"/>
                <w:szCs w:val="21"/>
                <w:lang w:val="en-US" w:eastAsia="zh-CN" w:bidi="ar"/>
                <w14:textFill>
                  <w14:solidFill>
                    <w14:schemeClr w14:val="tx1"/>
                  </w14:solidFill>
                </w14:textFill>
              </w:rPr>
              <w:t>0.8</w:t>
            </w:r>
            <w:r>
              <w:rPr>
                <w:rStyle w:val="94"/>
                <w:rFonts w:hint="default" w:ascii="Times New Roman" w:hAnsi="Times New Roman" w:cs="Times New Roman"/>
                <w:b w:val="0"/>
                <w:bCs/>
                <w:color w:val="000000" w:themeColor="text1"/>
                <w:sz w:val="21"/>
                <w:szCs w:val="21"/>
                <w:lang w:bidi="ar"/>
                <w14:textFill>
                  <w14:solidFill>
                    <w14:schemeClr w14:val="tx1"/>
                  </w14:solidFill>
                </w14:textFill>
              </w:rPr>
              <w:t>m</w:t>
            </w:r>
            <w:r>
              <w:rPr>
                <w:rStyle w:val="94"/>
                <w:rFonts w:hint="default" w:ascii="Times New Roman" w:hAnsi="Times New Roman" w:cs="Times New Roman"/>
                <w:b w:val="0"/>
                <w:bCs/>
                <w:color w:val="000000" w:themeColor="text1"/>
                <w:sz w:val="21"/>
                <w:szCs w:val="21"/>
                <w:vertAlign w:val="superscript"/>
                <w:lang w:bidi="ar"/>
                <w14:textFill>
                  <w14:solidFill>
                    <w14:schemeClr w14:val="tx1"/>
                  </w14:solidFill>
                </w14:textFill>
              </w:rPr>
              <w:t>3</w:t>
            </w:r>
            <w:r>
              <w:rPr>
                <w:rFonts w:hint="default" w:ascii="Times New Roman" w:hAnsi="Times New Roman" w:eastAsia="宋体" w:cs="Times New Roman"/>
                <w:b w:val="0"/>
                <w:bCs/>
                <w:color w:val="000000" w:themeColor="text1"/>
                <w:sz w:val="21"/>
                <w:szCs w:val="24"/>
                <w14:textFill>
                  <w14:solidFill>
                    <w14:schemeClr w14:val="tx1"/>
                  </w14:solidFill>
                </w14:textFill>
              </w:rPr>
              <w:t>，</w:t>
            </w:r>
            <w:r>
              <w:rPr>
                <w:rFonts w:hint="default" w:ascii="Times New Roman" w:hAnsi="Times New Roman" w:cs="Times New Roman"/>
                <w:b w:val="0"/>
                <w:bCs/>
                <w:color w:val="000000" w:themeColor="text1"/>
                <w:sz w:val="21"/>
                <w:szCs w:val="24"/>
                <w:lang w:val="en-US" w:eastAsia="zh-CN"/>
                <w14:textFill>
                  <w14:solidFill>
                    <w14:schemeClr w14:val="tx1"/>
                  </w14:solidFill>
                </w14:textFill>
              </w:rPr>
              <w:t>项</w:t>
            </w:r>
            <w:r>
              <w:rPr>
                <w:rFonts w:hint="eastAsia"/>
                <w:b w:val="0"/>
                <w:bCs/>
                <w:color w:val="000000" w:themeColor="text1"/>
                <w:sz w:val="21"/>
                <w:szCs w:val="24"/>
                <w:lang w:val="en-US" w:eastAsia="zh-CN"/>
                <w14:textFill>
                  <w14:solidFill>
                    <w14:schemeClr w14:val="tx1"/>
                  </w14:solidFill>
                </w14:textFill>
              </w:rPr>
              <w:t>目共有</w:t>
            </w:r>
            <w:r>
              <w:rPr>
                <w:rFonts w:hint="eastAsia" w:ascii="Times New Roman" w:hAnsi="Times New Roman" w:eastAsia="宋体"/>
                <w:b w:val="0"/>
                <w:bCs/>
                <w:color w:val="000000" w:themeColor="text1"/>
                <w:sz w:val="21"/>
                <w:szCs w:val="24"/>
                <w14:textFill>
                  <w14:solidFill>
                    <w14:schemeClr w14:val="tx1"/>
                  </w14:solidFill>
                </w14:textFill>
              </w:rPr>
              <w:t>2</w:t>
            </w:r>
            <w:r>
              <w:rPr>
                <w:rFonts w:hint="eastAsia"/>
                <w:b w:val="0"/>
                <w:bCs/>
                <w:color w:val="000000" w:themeColor="text1"/>
                <w:sz w:val="21"/>
                <w:szCs w:val="24"/>
                <w:lang w:val="en-US" w:eastAsia="zh-CN"/>
                <w14:textFill>
                  <w14:solidFill>
                    <w14:schemeClr w14:val="tx1"/>
                  </w14:solidFill>
                </w14:textFill>
              </w:rPr>
              <w:t>台抛光机</w:t>
            </w:r>
            <w:r>
              <w:rPr>
                <w:rFonts w:hint="eastAsia" w:ascii="Times New Roman" w:hAnsi="Times New Roman" w:eastAsia="宋体"/>
                <w:b w:val="0"/>
                <w:bCs/>
                <w:color w:val="000000" w:themeColor="text1"/>
                <w:sz w:val="21"/>
                <w:szCs w:val="24"/>
                <w14:textFill>
                  <w14:solidFill>
                    <w14:schemeClr w14:val="tx1"/>
                  </w14:solidFill>
                </w14:textFill>
              </w:rPr>
              <w:t>，</w:t>
            </w:r>
            <w:r>
              <w:rPr>
                <w:rFonts w:hint="eastAsia"/>
                <w:b w:val="0"/>
                <w:bCs/>
                <w:color w:val="000000" w:themeColor="text1"/>
                <w:sz w:val="21"/>
                <w:szCs w:val="24"/>
                <w:lang w:val="en-US" w:eastAsia="zh-CN"/>
                <w14:textFill>
                  <w14:solidFill>
                    <w14:schemeClr w14:val="tx1"/>
                  </w14:solidFill>
                </w14:textFill>
              </w:rPr>
              <w:t>即有效容积为1.6m³</w:t>
            </w:r>
            <w:r>
              <w:rPr>
                <w:rFonts w:hint="eastAsia" w:ascii="Times New Roman" w:hAnsi="Times New Roman" w:eastAsia="宋体"/>
                <w:b w:val="0"/>
                <w:bCs/>
                <w:color w:val="000000" w:themeColor="text1"/>
                <w:sz w:val="21"/>
                <w:szCs w:val="24"/>
                <w14:textFill>
                  <w14:solidFill>
                    <w14:schemeClr w14:val="tx1"/>
                  </w14:solidFill>
                </w14:textFill>
              </w:rPr>
              <w:t>。循环水池的水每</w:t>
            </w:r>
            <w:r>
              <w:rPr>
                <w:rFonts w:hint="eastAsia"/>
                <w:b w:val="0"/>
                <w:bCs/>
                <w:color w:val="000000" w:themeColor="text1"/>
                <w:sz w:val="21"/>
                <w:szCs w:val="24"/>
                <w:lang w:val="en-US" w:eastAsia="zh-CN"/>
                <w14:textFill>
                  <w14:solidFill>
                    <w14:schemeClr w14:val="tx1"/>
                  </w14:solidFill>
                </w14:textFill>
              </w:rPr>
              <w:t>两个月更换</w:t>
            </w:r>
            <w:r>
              <w:rPr>
                <w:rFonts w:hint="eastAsia" w:ascii="Times New Roman" w:hAnsi="Times New Roman" w:eastAsia="宋体"/>
                <w:b w:val="0"/>
                <w:bCs/>
                <w:color w:val="000000" w:themeColor="text1"/>
                <w:sz w:val="21"/>
                <w:szCs w:val="24"/>
                <w14:textFill>
                  <w14:solidFill>
                    <w14:schemeClr w14:val="tx1"/>
                  </w14:solidFill>
                </w14:textFill>
              </w:rPr>
              <w:t>一次，抛光废水产生量为</w:t>
            </w:r>
            <w:r>
              <w:rPr>
                <w:rFonts w:hint="eastAsia"/>
                <w:b w:val="0"/>
                <w:bCs/>
                <w:color w:val="000000" w:themeColor="text1"/>
                <w:sz w:val="21"/>
                <w:szCs w:val="24"/>
                <w:lang w:val="en-US" w:eastAsia="zh-CN"/>
                <w14:textFill>
                  <w14:solidFill>
                    <w14:schemeClr w14:val="tx1"/>
                  </w14:solidFill>
                </w14:textFill>
              </w:rPr>
              <w:t>9.6</w:t>
            </w:r>
            <w:r>
              <w:rPr>
                <w:rFonts w:hint="eastAsia" w:ascii="Times New Roman" w:hAnsi="Times New Roman" w:eastAsia="宋体"/>
                <w:b w:val="0"/>
                <w:bCs/>
                <w:color w:val="000000" w:themeColor="text1"/>
                <w:sz w:val="21"/>
                <w:szCs w:val="24"/>
                <w14:textFill>
                  <w14:solidFill>
                    <w14:schemeClr w14:val="tx1"/>
                  </w14:solidFill>
                </w14:textFill>
              </w:rPr>
              <w:t>t/a，委托给有处理能力的废水处理机构处理。</w:t>
            </w:r>
            <w:r>
              <w:rPr>
                <w:rFonts w:hint="eastAsia" w:ascii="Times New Roman" w:hAnsi="Times New Roman" w:eastAsia="宋体"/>
                <w:b w:val="0"/>
                <w:bCs/>
                <w:color w:val="000000" w:themeColor="text1"/>
                <w:sz w:val="21"/>
                <w:szCs w:val="24"/>
                <w:lang w:val="en-US" w:eastAsia="zh-CN"/>
                <w14:textFill>
                  <w14:solidFill>
                    <w14:schemeClr w14:val="tx1"/>
                  </w14:solidFill>
                </w14:textFill>
              </w:rPr>
              <w:t>每天损耗水量约为有效容积的5%，</w:t>
            </w:r>
            <w:r>
              <w:rPr>
                <w:rFonts w:hint="eastAsia" w:ascii="Times New Roman" w:hAnsi="Times New Roman" w:eastAsia="宋体"/>
                <w:b w:val="0"/>
                <w:bCs/>
                <w:color w:val="000000" w:themeColor="text1"/>
                <w:sz w:val="21"/>
                <w:szCs w:val="24"/>
                <w14:textFill>
                  <w14:solidFill>
                    <w14:schemeClr w14:val="tx1"/>
                  </w14:solidFill>
                </w14:textFill>
              </w:rPr>
              <w:t>则每天损耗水量约为0.</w:t>
            </w:r>
            <w:r>
              <w:rPr>
                <w:rFonts w:hint="eastAsia"/>
                <w:b w:val="0"/>
                <w:bCs/>
                <w:color w:val="000000" w:themeColor="text1"/>
                <w:sz w:val="21"/>
                <w:szCs w:val="24"/>
                <w:lang w:val="en-US" w:eastAsia="zh-CN"/>
                <w14:textFill>
                  <w14:solidFill>
                    <w14:schemeClr w14:val="tx1"/>
                  </w14:solidFill>
                </w14:textFill>
              </w:rPr>
              <w:t>08</w:t>
            </w:r>
            <w:r>
              <w:rPr>
                <w:rFonts w:hint="eastAsia" w:ascii="Times New Roman" w:hAnsi="Times New Roman" w:eastAsia="宋体"/>
                <w:b w:val="0"/>
                <w:bCs/>
                <w:color w:val="000000" w:themeColor="text1"/>
                <w:sz w:val="21"/>
                <w:szCs w:val="24"/>
                <w14:textFill>
                  <w14:solidFill>
                    <w14:schemeClr w14:val="tx1"/>
                  </w14:solidFill>
                </w14:textFill>
              </w:rPr>
              <w:t>t，年作业300天，年补充水量为</w:t>
            </w:r>
            <w:r>
              <w:rPr>
                <w:rFonts w:hint="eastAsia"/>
                <w:b w:val="0"/>
                <w:bCs/>
                <w:color w:val="000000" w:themeColor="text1"/>
                <w:sz w:val="21"/>
                <w:szCs w:val="24"/>
                <w:lang w:val="en-US" w:eastAsia="zh-CN"/>
                <w14:textFill>
                  <w14:solidFill>
                    <w14:schemeClr w14:val="tx1"/>
                  </w14:solidFill>
                </w14:textFill>
              </w:rPr>
              <w:t>24</w:t>
            </w:r>
            <w:r>
              <w:rPr>
                <w:rFonts w:hint="eastAsia" w:ascii="Times New Roman" w:hAnsi="Times New Roman" w:eastAsia="宋体"/>
                <w:b w:val="0"/>
                <w:bCs/>
                <w:color w:val="000000" w:themeColor="text1"/>
                <w:sz w:val="21"/>
                <w:szCs w:val="24"/>
                <w14:textFill>
                  <w14:solidFill>
                    <w14:schemeClr w14:val="tx1"/>
                  </w14:solidFill>
                </w14:textFill>
              </w:rPr>
              <w:t>t/a，则抛光用水量=补充用水量+更换用水量=</w:t>
            </w:r>
            <w:r>
              <w:rPr>
                <w:rFonts w:hint="eastAsia"/>
                <w:b w:val="0"/>
                <w:bCs/>
                <w:color w:val="000000" w:themeColor="text1"/>
                <w:sz w:val="21"/>
                <w:szCs w:val="24"/>
                <w:lang w:val="en-US" w:eastAsia="zh-CN"/>
                <w14:textFill>
                  <w14:solidFill>
                    <w14:schemeClr w14:val="tx1"/>
                  </w14:solidFill>
                </w14:textFill>
              </w:rPr>
              <w:t>24</w:t>
            </w:r>
            <w:r>
              <w:rPr>
                <w:rFonts w:hint="eastAsia" w:ascii="Times New Roman" w:hAnsi="Times New Roman" w:eastAsia="宋体"/>
                <w:b w:val="0"/>
                <w:bCs/>
                <w:color w:val="000000" w:themeColor="text1"/>
                <w:sz w:val="21"/>
                <w:szCs w:val="24"/>
                <w14:textFill>
                  <w14:solidFill>
                    <w14:schemeClr w14:val="tx1"/>
                  </w14:solidFill>
                </w14:textFill>
              </w:rPr>
              <w:t>+</w:t>
            </w:r>
            <w:r>
              <w:rPr>
                <w:rFonts w:hint="eastAsia"/>
                <w:b w:val="0"/>
                <w:bCs/>
                <w:color w:val="000000" w:themeColor="text1"/>
                <w:sz w:val="21"/>
                <w:szCs w:val="24"/>
                <w:lang w:val="en-US" w:eastAsia="zh-CN"/>
                <w14:textFill>
                  <w14:solidFill>
                    <w14:schemeClr w14:val="tx1"/>
                  </w14:solidFill>
                </w14:textFill>
              </w:rPr>
              <w:t>9.6</w:t>
            </w:r>
            <w:r>
              <w:rPr>
                <w:rFonts w:hint="eastAsia" w:ascii="Times New Roman" w:hAnsi="Times New Roman" w:eastAsia="宋体"/>
                <w:color w:val="000000" w:themeColor="text1"/>
                <w:sz w:val="21"/>
                <w:szCs w:val="24"/>
                <w14:textFill>
                  <w14:solidFill>
                    <w14:schemeClr w14:val="tx1"/>
                  </w14:solidFill>
                </w14:textFill>
              </w:rPr>
              <w:t>=</w:t>
            </w:r>
            <w:r>
              <w:rPr>
                <w:rFonts w:hint="eastAsia"/>
                <w:color w:val="000000" w:themeColor="text1"/>
                <w:sz w:val="21"/>
                <w:szCs w:val="24"/>
                <w:lang w:val="en-US" w:eastAsia="zh-CN"/>
                <w14:textFill>
                  <w14:solidFill>
                    <w14:schemeClr w14:val="tx1"/>
                  </w14:solidFill>
                </w14:textFill>
              </w:rPr>
              <w:t>33</w:t>
            </w:r>
            <w:r>
              <w:rPr>
                <w:rFonts w:hint="eastAsia" w:ascii="Times New Roman" w:hAnsi="Times New Roman" w:eastAsia="宋体"/>
                <w:color w:val="000000" w:themeColor="text1"/>
                <w:sz w:val="21"/>
                <w:szCs w:val="24"/>
                <w14:textFill>
                  <w14:solidFill>
                    <w14:schemeClr w14:val="tx1"/>
                  </w14:solidFill>
                </w14:textFill>
              </w:rPr>
              <w:t>.6t/a。</w:t>
            </w:r>
          </w:p>
          <w:p w14:paraId="05265774">
            <w:pPr>
              <w:pStyle w:val="48"/>
              <w:keepNext w:val="0"/>
              <w:keepLines w:val="0"/>
              <w:pageBreakBefore w:val="0"/>
              <w:widowControl w:val="0"/>
              <w:kinsoku/>
              <w:wordWrap w:val="0"/>
              <w:overflowPunct w:val="0"/>
              <w:topLinePunct/>
              <w:autoSpaceDE w:val="0"/>
              <w:autoSpaceDN w:val="0"/>
              <w:bidi w:val="0"/>
              <w:adjustRightInd w:val="0"/>
              <w:snapToGrid/>
              <w:spacing w:line="360" w:lineRule="auto"/>
              <w:ind w:firstLine="422" w:firstLineChars="200"/>
              <w:jc w:val="left"/>
              <w:textAlignment w:val="auto"/>
              <w:rPr>
                <w:rFonts w:hint="eastAsia" w:ascii="Times New Roman"/>
                <w:b/>
                <w:bCs/>
                <w:color w:val="000000" w:themeColor="text1"/>
                <w:sz w:val="21"/>
                <w:szCs w:val="24"/>
                <w:highlight w:val="none"/>
                <w:lang w:val="en-US" w:eastAsia="zh-CN"/>
                <w14:textFill>
                  <w14:solidFill>
                    <w14:schemeClr w14:val="tx1"/>
                  </w14:solidFill>
                </w14:textFill>
              </w:rPr>
            </w:pPr>
            <w:r>
              <w:rPr>
                <w:rFonts w:hint="eastAsia" w:ascii="Times New Roman"/>
                <w:b/>
                <w:bCs/>
                <w:color w:val="000000" w:themeColor="text1"/>
                <w:sz w:val="21"/>
                <w:szCs w:val="24"/>
                <w:highlight w:val="none"/>
                <w:lang w:val="en-US" w:eastAsia="zh-CN"/>
                <w14:textFill>
                  <w14:solidFill>
                    <w14:schemeClr w14:val="tx1"/>
                  </w14:solidFill>
                </w14:textFill>
              </w:rPr>
              <w:t>研磨废水：</w:t>
            </w:r>
          </w:p>
          <w:p w14:paraId="479FED00">
            <w:pPr>
              <w:numPr>
                <w:ilvl w:val="1"/>
                <w:numId w:val="0"/>
              </w:numPr>
              <w:adjustRightInd w:val="0"/>
              <w:snapToGrid w:val="0"/>
              <w:spacing w:beforeLines="0" w:afterLines="0" w:line="360" w:lineRule="auto"/>
              <w:ind w:firstLine="420"/>
              <w:jc w:val="left"/>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highlight w:val="none"/>
                <w:lang w:val="en-US" w:eastAsia="zh-CN"/>
                <w14:textFill>
                  <w14:solidFill>
                    <w14:schemeClr w14:val="tx1"/>
                  </w14:solidFill>
                </w14:textFill>
              </w:rPr>
              <w:t>项目研磨工序</w:t>
            </w:r>
            <w:r>
              <w:rPr>
                <w:rFonts w:hint="default" w:ascii="Times New Roman" w:hAnsi="Times New Roman" w:cs="Times New Roman"/>
                <w:color w:val="000000" w:themeColor="text1"/>
                <w:kern w:val="0"/>
                <w:szCs w:val="21"/>
                <w:lang w:bidi="ar"/>
                <w14:textFill>
                  <w14:solidFill>
                    <w14:schemeClr w14:val="tx1"/>
                  </w14:solidFill>
                </w14:textFill>
              </w:rPr>
              <w:t>震动盘</w:t>
            </w:r>
            <w:r>
              <w:rPr>
                <w:rFonts w:hint="default" w:ascii="Times New Roman" w:hAnsi="Times New Roman" w:cs="Times New Roman"/>
                <w:color w:val="000000" w:themeColor="text1"/>
                <w:kern w:val="0"/>
                <w:szCs w:val="21"/>
                <w:lang w:val="en-US" w:eastAsia="zh-CN" w:bidi="ar"/>
                <w14:textFill>
                  <w14:solidFill>
                    <w14:schemeClr w14:val="tx1"/>
                  </w14:solidFill>
                </w14:textFill>
              </w:rPr>
              <w:t>和</w:t>
            </w:r>
            <w:r>
              <w:rPr>
                <w:rFonts w:hint="default" w:ascii="Times New Roman" w:hAnsi="Times New Roman" w:cs="Times New Roman"/>
                <w:color w:val="000000" w:themeColor="text1"/>
                <w:kern w:val="0"/>
                <w:szCs w:val="21"/>
                <w:lang w:bidi="ar"/>
                <w14:textFill>
                  <w14:solidFill>
                    <w14:schemeClr w14:val="tx1"/>
                  </w14:solidFill>
                </w14:textFill>
              </w:rPr>
              <w:t>磁力震光机</w:t>
            </w:r>
            <w:r>
              <w:rPr>
                <w:rFonts w:hint="default" w:ascii="Times New Roman" w:hAnsi="Times New Roman" w:eastAsia="宋体" w:cs="Times New Roman"/>
                <w:b w:val="0"/>
                <w:bCs w:val="0"/>
                <w:color w:val="000000" w:themeColor="text1"/>
                <w:spacing w:val="0"/>
                <w:sz w:val="21"/>
                <w:szCs w:val="21"/>
                <w:highlight w:val="none"/>
                <w:lang w:val="en-US" w:eastAsia="zh-CN"/>
                <w14:textFill>
                  <w14:solidFill>
                    <w14:schemeClr w14:val="tx1"/>
                  </w14:solidFill>
                </w14:textFill>
              </w:rPr>
              <w:t>采用湿磨，添加水和研磨介质（</w:t>
            </w:r>
            <w:r>
              <w:rPr>
                <w:rFonts w:hint="eastAsia" w:cs="Times New Roman"/>
                <w:b w:val="0"/>
                <w:bCs w:val="0"/>
                <w:color w:val="000000" w:themeColor="text1"/>
                <w:spacing w:val="0"/>
                <w:sz w:val="21"/>
                <w:szCs w:val="21"/>
                <w:highlight w:val="none"/>
                <w:lang w:val="en-US" w:eastAsia="zh-CN"/>
                <w14:textFill>
                  <w14:solidFill>
                    <w14:schemeClr w14:val="tx1"/>
                  </w14:solidFill>
                </w14:textFill>
              </w:rPr>
              <w:t>陶瓷</w:t>
            </w:r>
            <w:r>
              <w:rPr>
                <w:rFonts w:hint="default" w:ascii="Times New Roman" w:hAnsi="Times New Roman" w:cs="Times New Roman"/>
                <w:b w:val="0"/>
                <w:bCs w:val="0"/>
                <w:color w:val="000000" w:themeColor="text1"/>
                <w:spacing w:val="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pacing w:val="0"/>
                <w:sz w:val="21"/>
                <w:szCs w:val="21"/>
                <w:highlight w:val="none"/>
                <w:lang w:val="en-US" w:eastAsia="zh-CN"/>
                <w14:textFill>
                  <w14:solidFill>
                    <w14:schemeClr w14:val="tx1"/>
                  </w14:solidFill>
                </w14:textFill>
              </w:rPr>
              <w:t>不锈钢针</w:t>
            </w:r>
            <w:r>
              <w:rPr>
                <w:rFonts w:hint="default" w:ascii="Times New Roman" w:hAnsi="Times New Roman" w:cs="Times New Roman"/>
                <w:b w:val="0"/>
                <w:bCs w:val="0"/>
                <w:color w:val="000000" w:themeColor="text1"/>
                <w:spacing w:val="0"/>
                <w:sz w:val="21"/>
                <w:szCs w:val="21"/>
                <w:highlight w:val="none"/>
                <w:lang w:val="en-US" w:eastAsia="zh-CN"/>
                <w14:textFill>
                  <w14:solidFill>
                    <w14:schemeClr w14:val="tx1"/>
                  </w14:solidFill>
                </w14:textFill>
              </w:rPr>
              <w:t>、洗洁精</w:t>
            </w:r>
            <w:r>
              <w:rPr>
                <w:rFonts w:hint="default" w:ascii="Times New Roman" w:hAnsi="Times New Roman" w:eastAsia="宋体" w:cs="Times New Roman"/>
                <w:b w:val="0"/>
                <w:bCs w:val="0"/>
                <w:color w:val="000000" w:themeColor="text1"/>
                <w:spacing w:val="0"/>
                <w:sz w:val="21"/>
                <w:szCs w:val="21"/>
                <w:highlight w:val="none"/>
                <w:lang w:val="en-US" w:eastAsia="zh-CN"/>
                <w14:textFill>
                  <w14:solidFill>
                    <w14:schemeClr w14:val="tx1"/>
                  </w14:solidFill>
                </w14:textFill>
              </w:rPr>
              <w:t>）和待研磨工件进行振动。</w:t>
            </w:r>
            <w:r>
              <w:rPr>
                <w:rFonts w:hint="default" w:ascii="Times New Roman" w:hAnsi="Times New Roman" w:cs="Times New Roman"/>
                <w:color w:val="000000" w:themeColor="text1"/>
                <w:kern w:val="0"/>
                <w:szCs w:val="21"/>
                <w:lang w:bidi="ar"/>
                <w14:textFill>
                  <w14:solidFill>
                    <w14:schemeClr w14:val="tx1"/>
                  </w14:solidFill>
                </w14:textFill>
              </w:rPr>
              <w:t>震动盘</w:t>
            </w:r>
            <w:r>
              <w:rPr>
                <w:rFonts w:hint="default" w:ascii="Times New Roman" w:hAnsi="Times New Roman" w:cs="Times New Roman"/>
                <w:color w:val="000000" w:themeColor="text1"/>
                <w:kern w:val="0"/>
                <w:szCs w:val="21"/>
                <w:lang w:val="en-US" w:eastAsia="zh-CN" w:bidi="ar"/>
                <w14:textFill>
                  <w14:solidFill>
                    <w14:schemeClr w14:val="tx1"/>
                  </w14:solidFill>
                </w14:textFill>
              </w:rPr>
              <w:t>和</w:t>
            </w:r>
            <w:r>
              <w:rPr>
                <w:rFonts w:hint="default" w:ascii="Times New Roman" w:hAnsi="Times New Roman" w:cs="Times New Roman"/>
                <w:color w:val="000000" w:themeColor="text1"/>
                <w:kern w:val="0"/>
                <w:szCs w:val="21"/>
                <w:lang w:bidi="ar"/>
                <w14:textFill>
                  <w14:solidFill>
                    <w14:schemeClr w14:val="tx1"/>
                  </w14:solidFill>
                </w14:textFill>
              </w:rPr>
              <w:t>磁力震光机</w:t>
            </w:r>
            <w:r>
              <w:rPr>
                <w:rFonts w:hint="default" w:ascii="Times New Roman" w:hAnsi="Times New Roman" w:cs="Times New Roman"/>
                <w:color w:val="000000" w:themeColor="text1"/>
                <w:kern w:val="0"/>
                <w:szCs w:val="21"/>
                <w:lang w:val="en-US" w:eastAsia="zh-CN" w:bidi="ar"/>
                <w14:textFill>
                  <w14:solidFill>
                    <w14:schemeClr w14:val="tx1"/>
                  </w14:solidFill>
                </w14:textFill>
              </w:rPr>
              <w:t>分别配备</w:t>
            </w:r>
            <w:r>
              <w:rPr>
                <w:rFonts w:hint="default" w:ascii="Times New Roman" w:hAnsi="Times New Roman" w:eastAsia="宋体" w:cs="Times New Roman"/>
                <w:b w:val="0"/>
                <w:bCs/>
                <w:color w:val="000000" w:themeColor="text1"/>
                <w:sz w:val="21"/>
                <w:szCs w:val="24"/>
                <w14:textFill>
                  <w14:solidFill>
                    <w14:schemeClr w14:val="tx1"/>
                  </w14:solidFill>
                </w14:textFill>
              </w:rPr>
              <w:t>1个</w:t>
            </w:r>
            <w:r>
              <w:rPr>
                <w:rStyle w:val="94"/>
                <w:rFonts w:hint="default" w:ascii="Times New Roman" w:hAnsi="Times New Roman" w:cs="Times New Roman"/>
                <w:b w:val="0"/>
                <w:bCs/>
                <w:color w:val="000000" w:themeColor="text1"/>
                <w:sz w:val="21"/>
                <w:szCs w:val="21"/>
                <w:lang w:val="en-US" w:eastAsia="zh-CN" w:bidi="ar"/>
                <w14:textFill>
                  <w14:solidFill>
                    <w14:schemeClr w14:val="tx1"/>
                  </w14:solidFill>
                </w14:textFill>
              </w:rPr>
              <w:t>有效</w:t>
            </w:r>
            <w:r>
              <w:rPr>
                <w:rStyle w:val="94"/>
                <w:rFonts w:hint="default" w:ascii="Times New Roman" w:hAnsi="Times New Roman" w:cs="Times New Roman"/>
                <w:b w:val="0"/>
                <w:bCs/>
                <w:color w:val="000000" w:themeColor="text1"/>
                <w:sz w:val="21"/>
                <w:szCs w:val="21"/>
                <w:lang w:bidi="ar"/>
                <w14:textFill>
                  <w14:solidFill>
                    <w14:schemeClr w14:val="tx1"/>
                  </w14:solidFill>
                </w14:textFill>
              </w:rPr>
              <w:t>容积为</w:t>
            </w:r>
            <w:r>
              <w:rPr>
                <w:rStyle w:val="94"/>
                <w:rFonts w:hint="default" w:ascii="Times New Roman" w:hAnsi="Times New Roman" w:cs="Times New Roman"/>
                <w:b w:val="0"/>
                <w:bCs/>
                <w:color w:val="000000" w:themeColor="text1"/>
                <w:sz w:val="21"/>
                <w:szCs w:val="21"/>
                <w:lang w:val="en-US" w:eastAsia="zh-CN" w:bidi="ar"/>
                <w14:textFill>
                  <w14:solidFill>
                    <w14:schemeClr w14:val="tx1"/>
                  </w14:solidFill>
                </w14:textFill>
              </w:rPr>
              <w:t>0.28</w:t>
            </w:r>
            <w:r>
              <w:rPr>
                <w:rStyle w:val="94"/>
                <w:rFonts w:hint="default" w:ascii="Times New Roman" w:hAnsi="Times New Roman" w:cs="Times New Roman"/>
                <w:b w:val="0"/>
                <w:bCs/>
                <w:color w:val="000000" w:themeColor="text1"/>
                <w:sz w:val="21"/>
                <w:szCs w:val="21"/>
                <w:lang w:bidi="ar"/>
                <w14:textFill>
                  <w14:solidFill>
                    <w14:schemeClr w14:val="tx1"/>
                  </w14:solidFill>
                </w14:textFill>
              </w:rPr>
              <w:t>m</w:t>
            </w:r>
            <w:r>
              <w:rPr>
                <w:rStyle w:val="94"/>
                <w:rFonts w:hint="default" w:ascii="Times New Roman" w:hAnsi="Times New Roman" w:cs="Times New Roman"/>
                <w:b w:val="0"/>
                <w:bCs/>
                <w:color w:val="000000" w:themeColor="text1"/>
                <w:sz w:val="21"/>
                <w:szCs w:val="21"/>
                <w:vertAlign w:val="superscript"/>
                <w:lang w:bidi="ar"/>
                <w14:textFill>
                  <w14:solidFill>
                    <w14:schemeClr w14:val="tx1"/>
                  </w14:solidFill>
                </w14:textFill>
              </w:rPr>
              <w:t>3</w:t>
            </w:r>
            <w:r>
              <w:rPr>
                <w:rStyle w:val="94"/>
                <w:rFonts w:hint="default" w:ascii="Times New Roman" w:hAnsi="Times New Roman" w:cs="Times New Roman"/>
                <w:b w:val="0"/>
                <w:bCs/>
                <w:color w:val="000000" w:themeColor="text1"/>
                <w:sz w:val="21"/>
                <w:szCs w:val="21"/>
                <w:vertAlign w:val="baseline"/>
                <w:lang w:eastAsia="zh-CN" w:bidi="ar"/>
                <w14:textFill>
                  <w14:solidFill>
                    <w14:schemeClr w14:val="tx1"/>
                  </w14:solidFill>
                </w14:textFill>
              </w:rPr>
              <w:t>的</w:t>
            </w:r>
            <w:r>
              <w:rPr>
                <w:rStyle w:val="94"/>
                <w:rFonts w:hint="eastAsia" w:cs="Times New Roman"/>
                <w:b w:val="0"/>
                <w:bCs/>
                <w:color w:val="000000" w:themeColor="text1"/>
                <w:sz w:val="21"/>
                <w:szCs w:val="21"/>
                <w:vertAlign w:val="baseline"/>
                <w:lang w:val="en-US" w:eastAsia="zh-CN" w:bidi="ar"/>
                <w14:textFill>
                  <w14:solidFill>
                    <w14:schemeClr w14:val="tx1"/>
                  </w14:solidFill>
                </w14:textFill>
              </w:rPr>
              <w:t>水箱</w:t>
            </w:r>
            <w:r>
              <w:rPr>
                <w:rFonts w:hint="default" w:ascii="Times New Roman" w:hAnsi="Times New Roman" w:eastAsia="宋体" w:cs="Times New Roman"/>
                <w:b w:val="0"/>
                <w:bCs/>
                <w:color w:val="000000" w:themeColor="text1"/>
                <w:sz w:val="21"/>
                <w:szCs w:val="24"/>
                <w14:textFill>
                  <w14:solidFill>
                    <w14:schemeClr w14:val="tx1"/>
                  </w14:solidFill>
                </w14:textFill>
              </w:rPr>
              <w:t>，共2个，</w:t>
            </w:r>
            <w:r>
              <w:rPr>
                <w:rFonts w:hint="default" w:ascii="Times New Roman" w:hAnsi="Times New Roman" w:cs="Times New Roman"/>
                <w:b w:val="0"/>
                <w:bCs/>
                <w:color w:val="000000" w:themeColor="text1"/>
                <w:sz w:val="21"/>
                <w:szCs w:val="24"/>
                <w:lang w:val="en-US" w:eastAsia="zh-CN"/>
                <w14:textFill>
                  <w14:solidFill>
                    <w14:schemeClr w14:val="tx1"/>
                  </w14:solidFill>
                </w14:textFill>
              </w:rPr>
              <w:t>即有效容积</w:t>
            </w:r>
            <w:r>
              <w:rPr>
                <w:rStyle w:val="94"/>
                <w:rFonts w:hint="default" w:ascii="Times New Roman" w:hAnsi="Times New Roman" w:cs="Times New Roman"/>
                <w:b w:val="0"/>
                <w:bCs/>
                <w:color w:val="000000" w:themeColor="text1"/>
                <w:sz w:val="21"/>
                <w:szCs w:val="21"/>
                <w:lang w:bidi="ar"/>
                <w14:textFill>
                  <w14:solidFill>
                    <w14:schemeClr w14:val="tx1"/>
                  </w14:solidFill>
                </w14:textFill>
              </w:rPr>
              <w:t>为</w:t>
            </w:r>
            <w:r>
              <w:rPr>
                <w:rStyle w:val="94"/>
                <w:rFonts w:hint="default" w:ascii="Times New Roman" w:hAnsi="Times New Roman" w:cs="Times New Roman"/>
                <w:b w:val="0"/>
                <w:bCs/>
                <w:color w:val="000000" w:themeColor="text1"/>
                <w:sz w:val="21"/>
                <w:szCs w:val="21"/>
                <w:lang w:val="en-US" w:eastAsia="zh-CN" w:bidi="ar"/>
                <w14:textFill>
                  <w14:solidFill>
                    <w14:schemeClr w14:val="tx1"/>
                  </w14:solidFill>
                </w14:textFill>
              </w:rPr>
              <w:t>0.56</w:t>
            </w:r>
            <w:r>
              <w:rPr>
                <w:rStyle w:val="94"/>
                <w:rFonts w:hint="default" w:ascii="Times New Roman" w:hAnsi="Times New Roman" w:cs="Times New Roman"/>
                <w:b w:val="0"/>
                <w:bCs/>
                <w:color w:val="000000" w:themeColor="text1"/>
                <w:sz w:val="21"/>
                <w:szCs w:val="21"/>
                <w:lang w:bidi="ar"/>
                <w14:textFill>
                  <w14:solidFill>
                    <w14:schemeClr w14:val="tx1"/>
                  </w14:solidFill>
                </w14:textFill>
              </w:rPr>
              <w:t>t</w:t>
            </w:r>
            <w:r>
              <w:rPr>
                <w:rFonts w:hint="default" w:ascii="Times New Roman" w:hAnsi="Times New Roman" w:eastAsia="宋体" w:cs="Times New Roman"/>
                <w:b w:val="0"/>
                <w:bCs/>
                <w:color w:val="000000" w:themeColor="text1"/>
                <w:sz w:val="21"/>
                <w:szCs w:val="24"/>
                <w14:textFill>
                  <w14:solidFill>
                    <w14:schemeClr w14:val="tx1"/>
                  </w14:solidFill>
                </w14:textFill>
              </w:rPr>
              <w:t>。循环水</w:t>
            </w:r>
            <w:r>
              <w:rPr>
                <w:rFonts w:hint="eastAsia" w:cs="Times New Roman"/>
                <w:b w:val="0"/>
                <w:bCs/>
                <w:color w:val="000000" w:themeColor="text1"/>
                <w:sz w:val="21"/>
                <w:szCs w:val="24"/>
                <w:lang w:val="en-US" w:eastAsia="zh-CN"/>
                <w14:textFill>
                  <w14:solidFill>
                    <w14:schemeClr w14:val="tx1"/>
                  </w14:solidFill>
                </w14:textFill>
              </w:rPr>
              <w:t>箱</w:t>
            </w:r>
            <w:r>
              <w:rPr>
                <w:rFonts w:hint="default" w:ascii="Times New Roman" w:hAnsi="Times New Roman" w:eastAsia="宋体" w:cs="Times New Roman"/>
                <w:b w:val="0"/>
                <w:bCs/>
                <w:color w:val="000000" w:themeColor="text1"/>
                <w:sz w:val="21"/>
                <w:szCs w:val="24"/>
                <w14:textFill>
                  <w14:solidFill>
                    <w14:schemeClr w14:val="tx1"/>
                  </w14:solidFill>
                </w14:textFill>
              </w:rPr>
              <w:t>的水每</w:t>
            </w:r>
            <w:r>
              <w:rPr>
                <w:rFonts w:hint="default" w:ascii="Times New Roman" w:hAnsi="Times New Roman" w:cs="Times New Roman"/>
                <w:b w:val="0"/>
                <w:bCs/>
                <w:color w:val="000000" w:themeColor="text1"/>
                <w:sz w:val="21"/>
                <w:szCs w:val="24"/>
                <w:lang w:val="en-US" w:eastAsia="zh-CN"/>
                <w14:textFill>
                  <w14:solidFill>
                    <w14:schemeClr w14:val="tx1"/>
                  </w14:solidFill>
                </w14:textFill>
              </w:rPr>
              <w:t>两个月</w:t>
            </w:r>
            <w:r>
              <w:rPr>
                <w:rFonts w:hint="default" w:ascii="Times New Roman" w:hAnsi="Times New Roman" w:eastAsia="宋体" w:cs="Times New Roman"/>
                <w:b w:val="0"/>
                <w:bCs/>
                <w:color w:val="000000" w:themeColor="text1"/>
                <w:sz w:val="21"/>
                <w:szCs w:val="24"/>
                <w14:textFill>
                  <w14:solidFill>
                    <w14:schemeClr w14:val="tx1"/>
                  </w14:solidFill>
                </w14:textFill>
              </w:rPr>
              <w:t>更换一次，</w:t>
            </w:r>
            <w:r>
              <w:rPr>
                <w:rFonts w:hint="default" w:ascii="Times New Roman" w:hAnsi="Times New Roman" w:cs="Times New Roman"/>
                <w:b w:val="0"/>
                <w:bCs/>
                <w:color w:val="000000" w:themeColor="text1"/>
                <w:sz w:val="21"/>
                <w:szCs w:val="24"/>
                <w:lang w:val="en-US" w:eastAsia="zh-CN"/>
                <w14:textFill>
                  <w14:solidFill>
                    <w14:schemeClr w14:val="tx1"/>
                  </w14:solidFill>
                </w14:textFill>
              </w:rPr>
              <w:t>研磨</w:t>
            </w:r>
            <w:r>
              <w:rPr>
                <w:rFonts w:hint="default" w:ascii="Times New Roman" w:hAnsi="Times New Roman" w:eastAsia="宋体" w:cs="Times New Roman"/>
                <w:b w:val="0"/>
                <w:bCs/>
                <w:color w:val="000000" w:themeColor="text1"/>
                <w:sz w:val="21"/>
                <w:szCs w:val="24"/>
                <w14:textFill>
                  <w14:solidFill>
                    <w14:schemeClr w14:val="tx1"/>
                  </w14:solidFill>
                </w14:textFill>
              </w:rPr>
              <w:t>废水产生量为</w:t>
            </w:r>
            <w:r>
              <w:rPr>
                <w:rFonts w:hint="eastAsia" w:cs="Times New Roman"/>
                <w:b w:val="0"/>
                <w:bCs/>
                <w:color w:val="000000" w:themeColor="text1"/>
                <w:sz w:val="21"/>
                <w:szCs w:val="24"/>
                <w:lang w:val="en-US" w:eastAsia="zh-CN"/>
                <w14:textFill>
                  <w14:solidFill>
                    <w14:schemeClr w14:val="tx1"/>
                  </w14:solidFill>
                </w14:textFill>
              </w:rPr>
              <w:t>3.36</w:t>
            </w:r>
            <w:r>
              <w:rPr>
                <w:rFonts w:hint="default" w:ascii="Times New Roman" w:hAnsi="Times New Roman" w:eastAsia="宋体" w:cs="Times New Roman"/>
                <w:b w:val="0"/>
                <w:bCs/>
                <w:color w:val="000000" w:themeColor="text1"/>
                <w:sz w:val="21"/>
                <w:szCs w:val="24"/>
                <w14:textFill>
                  <w14:solidFill>
                    <w14:schemeClr w14:val="tx1"/>
                  </w14:solidFill>
                </w14:textFill>
              </w:rPr>
              <w:t>t/a，委托给有处理能力的废水处理机构处理。</w:t>
            </w:r>
            <w:r>
              <w:rPr>
                <w:rFonts w:hint="default" w:ascii="Times New Roman" w:hAnsi="Times New Roman" w:eastAsia="宋体" w:cs="Times New Roman"/>
                <w:b w:val="0"/>
                <w:bCs/>
                <w:color w:val="000000" w:themeColor="text1"/>
                <w:sz w:val="21"/>
                <w:szCs w:val="24"/>
                <w:lang w:val="en-US" w:eastAsia="zh-CN"/>
                <w14:textFill>
                  <w14:solidFill>
                    <w14:schemeClr w14:val="tx1"/>
                  </w14:solidFill>
                </w14:textFill>
              </w:rPr>
              <w:t>每天损耗水量约为有效容积的5%</w:t>
            </w:r>
            <w:r>
              <w:rPr>
                <w:rFonts w:hint="default" w:ascii="Times New Roman" w:hAnsi="Times New Roman" w:eastAsia="宋体" w:cs="Times New Roman"/>
                <w:b w:val="0"/>
                <w:bCs/>
                <w:color w:val="000000" w:themeColor="text1"/>
                <w:sz w:val="21"/>
                <w:szCs w:val="24"/>
                <w14:textFill>
                  <w14:solidFill>
                    <w14:schemeClr w14:val="tx1"/>
                  </w14:solidFill>
                </w14:textFill>
              </w:rPr>
              <w:t>，则每天损耗水量约为0.</w:t>
            </w:r>
            <w:r>
              <w:rPr>
                <w:rFonts w:hint="default" w:ascii="Times New Roman" w:hAnsi="Times New Roman" w:cs="Times New Roman"/>
                <w:b w:val="0"/>
                <w:bCs/>
                <w:color w:val="000000" w:themeColor="text1"/>
                <w:sz w:val="21"/>
                <w:szCs w:val="24"/>
                <w:lang w:val="en-US" w:eastAsia="zh-CN"/>
                <w14:textFill>
                  <w14:solidFill>
                    <w14:schemeClr w14:val="tx1"/>
                  </w14:solidFill>
                </w14:textFill>
              </w:rPr>
              <w:t>02</w:t>
            </w:r>
            <w:r>
              <w:rPr>
                <w:rFonts w:hint="eastAsia" w:cs="Times New Roman"/>
                <w:b w:val="0"/>
                <w:bCs/>
                <w:color w:val="000000" w:themeColor="text1"/>
                <w:sz w:val="21"/>
                <w:szCs w:val="24"/>
                <w:lang w:val="en-US" w:eastAsia="zh-CN"/>
                <w14:textFill>
                  <w14:solidFill>
                    <w14:schemeClr w14:val="tx1"/>
                  </w14:solidFill>
                </w14:textFill>
              </w:rPr>
              <w:t>8</w:t>
            </w:r>
            <w:r>
              <w:rPr>
                <w:rFonts w:hint="default" w:ascii="Times New Roman" w:hAnsi="Times New Roman" w:eastAsia="宋体" w:cs="Times New Roman"/>
                <w:b w:val="0"/>
                <w:bCs/>
                <w:color w:val="000000" w:themeColor="text1"/>
                <w:sz w:val="21"/>
                <w:szCs w:val="24"/>
                <w14:textFill>
                  <w14:solidFill>
                    <w14:schemeClr w14:val="tx1"/>
                  </w14:solidFill>
                </w14:textFill>
              </w:rPr>
              <w:t>t，年作业300天，年补充水量为</w:t>
            </w:r>
            <w:r>
              <w:rPr>
                <w:rFonts w:hint="eastAsia" w:cs="Times New Roman"/>
                <w:b w:val="0"/>
                <w:bCs/>
                <w:color w:val="000000" w:themeColor="text1"/>
                <w:sz w:val="21"/>
                <w:szCs w:val="24"/>
                <w:lang w:val="en-US" w:eastAsia="zh-CN"/>
                <w14:textFill>
                  <w14:solidFill>
                    <w14:schemeClr w14:val="tx1"/>
                  </w14:solidFill>
                </w14:textFill>
              </w:rPr>
              <w:t>8.4</w:t>
            </w:r>
            <w:r>
              <w:rPr>
                <w:rFonts w:hint="default" w:ascii="Times New Roman" w:hAnsi="Times New Roman" w:eastAsia="宋体" w:cs="Times New Roman"/>
                <w:b w:val="0"/>
                <w:bCs/>
                <w:color w:val="000000" w:themeColor="text1"/>
                <w:sz w:val="21"/>
                <w:szCs w:val="24"/>
                <w14:textFill>
                  <w14:solidFill>
                    <w14:schemeClr w14:val="tx1"/>
                  </w14:solidFill>
                </w14:textFill>
              </w:rPr>
              <w:t>t/a，则</w:t>
            </w:r>
            <w:r>
              <w:rPr>
                <w:rFonts w:hint="eastAsia" w:cs="Times New Roman"/>
                <w:b w:val="0"/>
                <w:bCs/>
                <w:color w:val="000000" w:themeColor="text1"/>
                <w:sz w:val="21"/>
                <w:szCs w:val="24"/>
                <w:lang w:val="en-US" w:eastAsia="zh-CN"/>
                <w14:textFill>
                  <w14:solidFill>
                    <w14:schemeClr w14:val="tx1"/>
                  </w14:solidFill>
                </w14:textFill>
              </w:rPr>
              <w:t>研磨</w:t>
            </w:r>
            <w:r>
              <w:rPr>
                <w:rFonts w:hint="default" w:ascii="Times New Roman" w:hAnsi="Times New Roman" w:eastAsia="宋体" w:cs="Times New Roman"/>
                <w:b w:val="0"/>
                <w:bCs/>
                <w:color w:val="000000" w:themeColor="text1"/>
                <w:sz w:val="21"/>
                <w:szCs w:val="24"/>
                <w14:textFill>
                  <w14:solidFill>
                    <w14:schemeClr w14:val="tx1"/>
                  </w14:solidFill>
                </w14:textFill>
              </w:rPr>
              <w:t>用水量=补充用水量+更换用水量=</w:t>
            </w:r>
            <w:r>
              <w:rPr>
                <w:rFonts w:hint="eastAsia" w:cs="Times New Roman"/>
                <w:b w:val="0"/>
                <w:bCs/>
                <w:color w:val="000000" w:themeColor="text1"/>
                <w:sz w:val="21"/>
                <w:szCs w:val="24"/>
                <w:lang w:val="en-US" w:eastAsia="zh-CN"/>
                <w14:textFill>
                  <w14:solidFill>
                    <w14:schemeClr w14:val="tx1"/>
                  </w14:solidFill>
                </w14:textFill>
              </w:rPr>
              <w:t>8.4</w:t>
            </w:r>
            <w:r>
              <w:rPr>
                <w:rFonts w:hint="default" w:ascii="Times New Roman" w:hAnsi="Times New Roman" w:eastAsia="宋体" w:cs="Times New Roman"/>
                <w:b w:val="0"/>
                <w:bCs/>
                <w:color w:val="000000" w:themeColor="text1"/>
                <w:sz w:val="21"/>
                <w:szCs w:val="24"/>
                <w14:textFill>
                  <w14:solidFill>
                    <w14:schemeClr w14:val="tx1"/>
                  </w14:solidFill>
                </w14:textFill>
              </w:rPr>
              <w:t>+</w:t>
            </w:r>
            <w:r>
              <w:rPr>
                <w:rFonts w:hint="eastAsia" w:cs="Times New Roman"/>
                <w:b w:val="0"/>
                <w:bCs/>
                <w:color w:val="000000" w:themeColor="text1"/>
                <w:sz w:val="21"/>
                <w:szCs w:val="24"/>
                <w:lang w:val="en-US" w:eastAsia="zh-CN"/>
                <w14:textFill>
                  <w14:solidFill>
                    <w14:schemeClr w14:val="tx1"/>
                  </w14:solidFill>
                </w14:textFill>
              </w:rPr>
              <w:t>3.36</w:t>
            </w:r>
            <w:r>
              <w:rPr>
                <w:rFonts w:hint="default" w:ascii="Times New Roman" w:hAnsi="Times New Roman" w:eastAsia="宋体" w:cs="Times New Roman"/>
                <w:color w:val="000000" w:themeColor="text1"/>
                <w:sz w:val="21"/>
                <w:szCs w:val="24"/>
                <w14:textFill>
                  <w14:solidFill>
                    <w14:schemeClr w14:val="tx1"/>
                  </w14:solidFill>
                </w14:textFill>
              </w:rPr>
              <w:t>=</w:t>
            </w:r>
            <w:r>
              <w:rPr>
                <w:rFonts w:hint="eastAsia" w:cs="Times New Roman"/>
                <w:color w:val="000000" w:themeColor="text1"/>
                <w:sz w:val="21"/>
                <w:szCs w:val="24"/>
                <w:lang w:val="en-US" w:eastAsia="zh-CN"/>
                <w14:textFill>
                  <w14:solidFill>
                    <w14:schemeClr w14:val="tx1"/>
                  </w14:solidFill>
                </w14:textFill>
              </w:rPr>
              <w:t>11.76</w:t>
            </w:r>
            <w:r>
              <w:rPr>
                <w:rFonts w:hint="default" w:ascii="Times New Roman" w:hAnsi="Times New Roman" w:eastAsia="宋体" w:cs="Times New Roman"/>
                <w:color w:val="000000" w:themeColor="text1"/>
                <w:sz w:val="21"/>
                <w:szCs w:val="24"/>
                <w14:textFill>
                  <w14:solidFill>
                    <w14:schemeClr w14:val="tx1"/>
                  </w14:solidFill>
                </w14:textFill>
              </w:rPr>
              <w:t>t/a。</w:t>
            </w:r>
          </w:p>
          <w:p w14:paraId="20C3C71A">
            <w:pPr>
              <w:numPr>
                <w:ilvl w:val="1"/>
                <w:numId w:val="0"/>
              </w:numPr>
              <w:adjustRightInd w:val="0"/>
              <w:snapToGrid w:val="0"/>
              <w:spacing w:beforeLines="0" w:afterLines="0" w:line="360" w:lineRule="auto"/>
              <w:ind w:firstLine="420"/>
              <w:jc w:val="left"/>
              <w:rPr>
                <w:rFonts w:hint="eastAsia" w:ascii="Times New Roman" w:hAnsi="Times New Roman" w:eastAsia="宋体"/>
                <w:b/>
                <w:color w:val="000000" w:themeColor="text1"/>
                <w:sz w:val="21"/>
                <w:szCs w:val="24"/>
                <w14:textFill>
                  <w14:solidFill>
                    <w14:schemeClr w14:val="tx1"/>
                  </w14:solidFill>
                </w14:textFill>
              </w:rPr>
            </w:pPr>
            <w:r>
              <w:rPr>
                <w:rFonts w:hint="eastAsia" w:ascii="Times New Roman" w:hAnsi="Times New Roman" w:eastAsia="宋体"/>
                <w:b/>
                <w:color w:val="000000" w:themeColor="text1"/>
                <w:sz w:val="21"/>
                <w:szCs w:val="24"/>
                <w:highlight w:val="none"/>
                <w14:textFill>
                  <w14:solidFill>
                    <w14:schemeClr w14:val="tx1"/>
                  </w14:solidFill>
                </w14:textFill>
              </w:rPr>
              <w:t>冷却用</w:t>
            </w:r>
            <w:r>
              <w:rPr>
                <w:rFonts w:hint="eastAsia" w:ascii="Times New Roman" w:hAnsi="Times New Roman" w:eastAsia="宋体"/>
                <w:b/>
                <w:color w:val="000000" w:themeColor="text1"/>
                <w:sz w:val="21"/>
                <w:szCs w:val="24"/>
                <w14:textFill>
                  <w14:solidFill>
                    <w14:schemeClr w14:val="tx1"/>
                  </w14:solidFill>
                </w14:textFill>
              </w:rPr>
              <w:t>水</w:t>
            </w:r>
          </w:p>
          <w:p w14:paraId="39289EC9">
            <w:pPr>
              <w:numPr>
                <w:ilvl w:val="1"/>
                <w:numId w:val="0"/>
              </w:numPr>
              <w:adjustRightInd w:val="0"/>
              <w:snapToGrid w:val="0"/>
              <w:spacing w:beforeLines="0" w:afterLines="0" w:line="360" w:lineRule="auto"/>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项目压铸机间接冷却用水通过冷却塔循环使用</w:t>
            </w:r>
            <w:r>
              <w:rPr>
                <w:rFonts w:hint="default" w:ascii="Times New Roman" w:hAnsi="Times New Roman" w:eastAsia="宋体" w:cs="Times New Roman"/>
                <w:color w:val="000000" w:themeColor="text1"/>
                <w:kern w:val="2"/>
                <w:sz w:val="21"/>
                <w:szCs w:val="21"/>
                <w:highlight w:val="none"/>
                <w:lang w:val="en-US" w:eastAsia="en-US" w:bidi="ar-SA"/>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冷却水不外排，定期补充用水，冷却用水日常循环使用，冷却塔配套1个</w:t>
            </w:r>
            <w:r>
              <w:rPr>
                <w:rFonts w:hint="eastAsia" w:cs="Times New Roman"/>
                <w:color w:val="000000" w:themeColor="text1"/>
                <w:sz w:val="21"/>
                <w:szCs w:val="21"/>
                <w:highlight w:val="none"/>
                <w:lang w:val="en-US" w:eastAsia="zh-CN"/>
                <w14:textFill>
                  <w14:solidFill>
                    <w14:schemeClr w14:val="tx1"/>
                  </w14:solidFill>
                </w14:textFill>
              </w:rPr>
              <w:t>3.5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的水箱，有效容积约为</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，循环用水量按照有效容积计算，则循环用水量约为</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a。冷却补充用水按有效容积的5%进行计算，则每天需要冷却补充用水=</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m*5%=0.</w:t>
            </w:r>
            <w:r>
              <w:rPr>
                <w:rFonts w:hint="eastAsia" w:cs="Times New Roman"/>
                <w:color w:val="000000" w:themeColor="text1"/>
                <w:sz w:val="21"/>
                <w:szCs w:val="21"/>
                <w:highlight w:val="none"/>
                <w:lang w:val="en-US" w:eastAsia="zh-CN"/>
                <w14:textFill>
                  <w14:solidFill>
                    <w14:schemeClr w14:val="tx1"/>
                  </w14:solidFill>
                </w14:textFill>
              </w:rPr>
              <w:t>15</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，项目冷却方式为间接冷却，年工作时间为300天，每年需要冷却补充用水为</w:t>
            </w:r>
            <w:r>
              <w:rPr>
                <w:rFonts w:hint="eastAsia" w:cs="Times New Roman"/>
                <w:color w:val="000000" w:themeColor="text1"/>
                <w:sz w:val="21"/>
                <w:szCs w:val="21"/>
                <w:highlight w:val="none"/>
                <w:lang w:val="en-US" w:eastAsia="zh-CN"/>
                <w14:textFill>
                  <w14:solidFill>
                    <w14:schemeClr w14:val="tx1"/>
                  </w14:solidFill>
                </w14:textFill>
              </w:rPr>
              <w:t>45</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w:t>
            </w:r>
          </w:p>
          <w:p w14:paraId="268D33E6">
            <w:pPr>
              <w:numPr>
                <w:ilvl w:val="1"/>
                <w:numId w:val="0"/>
              </w:numPr>
              <w:adjustRightInd w:val="0"/>
              <w:snapToGrid w:val="0"/>
              <w:spacing w:beforeLines="0" w:afterLines="0" w:line="360" w:lineRule="auto"/>
              <w:ind w:firstLine="42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object>
                <v:shape id="_x0000_i1025" o:spt="75" type="#_x0000_t75" style="height:328pt;width:363pt;" o:ole="t" filled="f" o:preferrelative="t" stroked="f" coordsize="21600,21600">
                  <v:path/>
                  <v:fill on="f" focussize="0,0"/>
                  <v:stroke on="f"/>
                  <v:imagedata r:id="rId15" o:title=""/>
                  <o:lock v:ext="edit" aspectratio="f"/>
                  <w10:wrap type="none"/>
                  <w10:anchorlock/>
                </v:shape>
                <o:OLEObject Type="Embed" ProgID="Visio.Drawing.15" ShapeID="_x0000_i1025" DrawAspect="Content" ObjectID="_1468075725" r:id="rId14">
                  <o:LockedField>false</o:LockedField>
                </o:OLEObject>
              </w:object>
            </w:r>
          </w:p>
          <w:p w14:paraId="758894AB">
            <w:pPr>
              <w:numPr>
                <w:ilvl w:val="1"/>
                <w:numId w:val="0"/>
              </w:numPr>
              <w:adjustRightInd w:val="0"/>
              <w:snapToGrid w:val="0"/>
              <w:spacing w:beforeLines="0" w:afterLines="0" w:line="360" w:lineRule="auto"/>
              <w:ind w:firstLine="42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图</w:t>
            </w:r>
            <w:r>
              <w:rPr>
                <w:rFonts w:hint="eastAsia" w:cs="Times New Roman"/>
                <w:b/>
                <w:bCs/>
                <w:color w:val="000000" w:themeColor="text1"/>
                <w:sz w:val="21"/>
                <w:szCs w:val="21"/>
                <w:highlight w:val="none"/>
                <w:lang w:val="en-US" w:eastAsia="zh-CN"/>
                <w14:textFill>
                  <w14:solidFill>
                    <w14:schemeClr w14:val="tx1"/>
                  </w14:solidFill>
                </w14:textFill>
              </w:rPr>
              <w:t>1</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水平衡图</w:t>
            </w:r>
          </w:p>
          <w:p w14:paraId="0F620A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80" w:leftChars="0"/>
              <w:jc w:val="center"/>
              <w:textAlignment w:val="auto"/>
              <w:rPr>
                <w:rFonts w:hint="default" w:ascii="Times New Roman" w:hAnsi="Times New Roman" w:eastAsia="宋体" w:cs="Times New Roman"/>
                <w:b/>
                <w:bCs/>
                <w:color w:val="000000" w:themeColor="text1"/>
                <w:spacing w:val="-2"/>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pacing w:val="-10"/>
                <w:sz w:val="24"/>
                <w:szCs w:val="24"/>
                <w:highlight w:val="none"/>
                <w14:textFill>
                  <w14:solidFill>
                    <w14:schemeClr w14:val="tx1"/>
                  </w14:solidFill>
                </w14:textFill>
              </w:rPr>
              <w:t>表</w:t>
            </w:r>
            <w:r>
              <w:rPr>
                <w:rFonts w:hint="default" w:ascii="Times New Roman" w:hAnsi="Times New Roman" w:eastAsia="宋体" w:cs="Times New Roman"/>
                <w:b/>
                <w:bCs/>
                <w:color w:val="000000" w:themeColor="text1"/>
                <w:spacing w:val="-10"/>
                <w:sz w:val="24"/>
                <w:szCs w:val="24"/>
                <w:highlight w:val="none"/>
                <w:lang w:val="en-US" w:eastAsia="zh-CN"/>
                <w14:textFill>
                  <w14:solidFill>
                    <w14:schemeClr w14:val="tx1"/>
                  </w14:solidFill>
                </w14:textFill>
              </w:rPr>
              <w:t>1</w:t>
            </w:r>
            <w:r>
              <w:rPr>
                <w:rFonts w:hint="eastAsia" w:cs="Times New Roman"/>
                <w:b/>
                <w:bCs/>
                <w:color w:val="000000" w:themeColor="text1"/>
                <w:spacing w:val="-10"/>
                <w:sz w:val="24"/>
                <w:szCs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pacing w:val="-10"/>
                <w:sz w:val="24"/>
                <w:szCs w:val="24"/>
                <w:highlight w:val="none"/>
                <w:lang w:val="en-US" w:eastAsia="zh-CN"/>
                <w14:textFill>
                  <w14:solidFill>
                    <w14:schemeClr w14:val="tx1"/>
                  </w14:solidFill>
                </w14:textFill>
              </w:rPr>
              <w:t>项目</w:t>
            </w:r>
            <w:r>
              <w:rPr>
                <w:rFonts w:hint="default" w:ascii="Times New Roman" w:hAnsi="Times New Roman" w:eastAsia="宋体" w:cs="Times New Roman"/>
                <w:b/>
                <w:bCs/>
                <w:color w:val="000000" w:themeColor="text1"/>
                <w:spacing w:val="-10"/>
                <w:sz w:val="24"/>
                <w:szCs w:val="24"/>
                <w:highlight w:val="none"/>
                <w14:textFill>
                  <w14:solidFill>
                    <w14:schemeClr w14:val="tx1"/>
                  </w14:solidFill>
                </w14:textFill>
              </w:rPr>
              <w:t>给排水情况一览表</w:t>
            </w:r>
          </w:p>
          <w:tbl>
            <w:tblPr>
              <w:tblStyle w:val="33"/>
              <w:tblW w:w="39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5"/>
              <w:gridCol w:w="1283"/>
              <w:gridCol w:w="1541"/>
              <w:gridCol w:w="2381"/>
            </w:tblGrid>
            <w:tr w14:paraId="5B4C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50" w:type="pct"/>
                  <w:noWrap w:val="0"/>
                  <w:vAlign w:val="center"/>
                </w:tcPr>
                <w:p w14:paraId="0DB93B10">
                  <w:pPr>
                    <w:pStyle w:val="48"/>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类别</w:t>
                  </w:r>
                </w:p>
              </w:tc>
              <w:tc>
                <w:tcPr>
                  <w:tcW w:w="973" w:type="pct"/>
                  <w:noWrap w:val="0"/>
                  <w:vAlign w:val="center"/>
                </w:tcPr>
                <w:p w14:paraId="4FF33AD4">
                  <w:pPr>
                    <w:pStyle w:val="48"/>
                    <w:jc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用水量</w:t>
                  </w:r>
                  <w:r>
                    <w:rPr>
                      <w:rFonts w:hint="eastAsia" w:ascii="Times New Roman" w:cs="Times New Roman"/>
                      <w:b/>
                      <w:bCs/>
                      <w:color w:val="000000" w:themeColor="text1"/>
                      <w:sz w:val="21"/>
                      <w:szCs w:val="21"/>
                      <w:lang w:val="en-US" w:eastAsia="zh-CN"/>
                      <w14:textFill>
                        <w14:solidFill>
                          <w14:schemeClr w14:val="tx1"/>
                        </w14:solidFill>
                      </w14:textFill>
                    </w:rPr>
                    <w:t>t/a</w:t>
                  </w:r>
                </w:p>
              </w:tc>
              <w:tc>
                <w:tcPr>
                  <w:tcW w:w="1169" w:type="pct"/>
                  <w:noWrap w:val="0"/>
                  <w:vAlign w:val="center"/>
                </w:tcPr>
                <w:p w14:paraId="300C2449">
                  <w:pPr>
                    <w:jc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废水排放量</w:t>
                  </w:r>
                  <w:r>
                    <w:rPr>
                      <w:rFonts w:hint="eastAsia" w:cs="Times New Roman"/>
                      <w:b/>
                      <w:bCs/>
                      <w:color w:val="000000" w:themeColor="text1"/>
                      <w:sz w:val="21"/>
                      <w:szCs w:val="21"/>
                      <w:lang w:val="en-US" w:eastAsia="zh-CN"/>
                      <w14:textFill>
                        <w14:solidFill>
                          <w14:schemeClr w14:val="tx1"/>
                        </w14:solidFill>
                      </w14:textFill>
                    </w:rPr>
                    <w:t>t/a</w:t>
                  </w:r>
                </w:p>
              </w:tc>
              <w:tc>
                <w:tcPr>
                  <w:tcW w:w="1806" w:type="pct"/>
                  <w:noWrap w:val="0"/>
                  <w:vAlign w:val="center"/>
                </w:tcPr>
                <w:p w14:paraId="10C21157">
                  <w:pPr>
                    <w:pStyle w:val="48"/>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排污去向</w:t>
                  </w:r>
                </w:p>
              </w:tc>
            </w:tr>
            <w:tr w14:paraId="418B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050" w:type="pct"/>
                  <w:noWrap w:val="0"/>
                  <w:vAlign w:val="center"/>
                </w:tcPr>
                <w:p w14:paraId="42217E8D">
                  <w:pPr>
                    <w:pStyle w:val="48"/>
                    <w:keepNext w:val="0"/>
                    <w:keepLines w:val="0"/>
                    <w:pageBreakBefore w:val="0"/>
                    <w:widowControl w:val="0"/>
                    <w:kinsoku/>
                    <w:bidi w:val="0"/>
                    <w:adjustRightInd w:val="0"/>
                    <w:snapToGrid/>
                    <w:jc w:val="center"/>
                    <w:textAlignment w:val="auto"/>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生活用水</w:t>
                  </w:r>
                </w:p>
              </w:tc>
              <w:tc>
                <w:tcPr>
                  <w:tcW w:w="973" w:type="pct"/>
                  <w:noWrap w:val="0"/>
                  <w:vAlign w:val="center"/>
                </w:tcPr>
                <w:p w14:paraId="626C2EA8">
                  <w:pPr>
                    <w:pStyle w:val="48"/>
                    <w:jc w:val="cente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ascii="Times New Roman" w:cs="Times New Roman"/>
                      <w:snapToGrid w:val="0"/>
                      <w:color w:val="000000" w:themeColor="text1"/>
                      <w:kern w:val="2"/>
                      <w:sz w:val="21"/>
                      <w:szCs w:val="21"/>
                      <w:vertAlign w:val="baseline"/>
                      <w:lang w:val="en-US" w:eastAsia="zh-CN" w:bidi="ar-SA"/>
                      <w14:textFill>
                        <w14:solidFill>
                          <w14:schemeClr w14:val="tx1"/>
                        </w14:solidFill>
                      </w14:textFill>
                    </w:rPr>
                    <w:t>200</w:t>
                  </w:r>
                </w:p>
              </w:tc>
              <w:tc>
                <w:tcPr>
                  <w:tcW w:w="1169" w:type="pct"/>
                  <w:noWrap w:val="0"/>
                  <w:vAlign w:val="center"/>
                </w:tcPr>
                <w:p w14:paraId="66CCACF5">
                  <w:pPr>
                    <w:pStyle w:val="99"/>
                    <w:widowControl w:val="0"/>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180</w:t>
                  </w:r>
                </w:p>
              </w:tc>
              <w:tc>
                <w:tcPr>
                  <w:tcW w:w="1806" w:type="pct"/>
                  <w:noWrap w:val="0"/>
                  <w:vAlign w:val="center"/>
                </w:tcPr>
                <w:p w14:paraId="5B6F17AF">
                  <w:pPr>
                    <w:pStyle w:val="99"/>
                    <w:widowControl w:val="0"/>
                    <w:adjustRightInd w:val="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化粪池预</w:t>
                  </w:r>
                  <w:r>
                    <w:rPr>
                      <w:rFonts w:hint="default" w:ascii="Times New Roman" w:hAnsi="Times New Roman" w:eastAsia="宋体" w:cs="Times New Roman"/>
                      <w:color w:val="000000" w:themeColor="text1"/>
                      <w:sz w:val="21"/>
                      <w:szCs w:val="21"/>
                      <w14:textFill>
                        <w14:solidFill>
                          <w14:schemeClr w14:val="tx1"/>
                        </w14:solidFill>
                      </w14:textFill>
                    </w:rPr>
                    <w:t>处理后经市政管网排入</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中山市南朗镇水务有限公司</w:t>
                  </w:r>
                  <w:r>
                    <w:rPr>
                      <w:rFonts w:hint="default" w:ascii="Times New Roman" w:hAnsi="Times New Roman" w:eastAsia="宋体" w:cs="Times New Roman"/>
                      <w:color w:val="000000" w:themeColor="text1"/>
                      <w:sz w:val="21"/>
                      <w:szCs w:val="21"/>
                      <w14:textFill>
                        <w14:solidFill>
                          <w14:schemeClr w14:val="tx1"/>
                        </w14:solidFill>
                      </w14:textFill>
                    </w:rPr>
                    <w:t>处理</w:t>
                  </w:r>
                </w:p>
              </w:tc>
            </w:tr>
            <w:tr w14:paraId="43ED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050" w:type="pct"/>
                  <w:noWrap w:val="0"/>
                  <w:vAlign w:val="center"/>
                </w:tcPr>
                <w:p w14:paraId="3181B6AE">
                  <w:pPr>
                    <w:keepNext w:val="0"/>
                    <w:keepLines w:val="0"/>
                    <w:pageBreakBefore w:val="0"/>
                    <w:wordWrap/>
                    <w:overflowPunct/>
                    <w:topLinePunct w:val="0"/>
                    <w:bidi w:val="0"/>
                    <w:ind w:left="0" w:leftChars="0"/>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olor w:val="000000" w:themeColor="text1"/>
                      <w:sz w:val="21"/>
                      <w:highlight w:val="none"/>
                      <w:vertAlign w:val="baseline"/>
                      <w:lang w:val="en-US" w:eastAsia="zh-CN"/>
                      <w14:textFill>
                        <w14:solidFill>
                          <w14:schemeClr w14:val="tx1"/>
                        </w14:solidFill>
                      </w14:textFill>
                    </w:rPr>
                    <w:t>冷却用水</w:t>
                  </w:r>
                </w:p>
              </w:tc>
              <w:tc>
                <w:tcPr>
                  <w:tcW w:w="973" w:type="pct"/>
                  <w:noWrap w:val="0"/>
                  <w:vAlign w:val="center"/>
                </w:tcPr>
                <w:p w14:paraId="2A5C88BB">
                  <w:pPr>
                    <w:pStyle w:val="48"/>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cs="Times New Roman"/>
                      <w:color w:val="000000" w:themeColor="text1"/>
                      <w:sz w:val="21"/>
                      <w:szCs w:val="21"/>
                      <w:vertAlign w:val="baseline"/>
                      <w:lang w:val="en-US" w:eastAsia="zh-CN"/>
                      <w14:textFill>
                        <w14:solidFill>
                          <w14:schemeClr w14:val="tx1"/>
                        </w14:solidFill>
                      </w14:textFill>
                    </w:rPr>
                    <w:t>45</w:t>
                  </w:r>
                </w:p>
              </w:tc>
              <w:tc>
                <w:tcPr>
                  <w:tcW w:w="1169" w:type="pct"/>
                  <w:noWrap w:val="0"/>
                  <w:vAlign w:val="center"/>
                </w:tcPr>
                <w:p w14:paraId="56501FD7">
                  <w:pPr>
                    <w:pStyle w:val="99"/>
                    <w:widowControl w:val="0"/>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806" w:type="pct"/>
                  <w:noWrap w:val="0"/>
                  <w:vAlign w:val="center"/>
                </w:tcPr>
                <w:p w14:paraId="12A18772">
                  <w:pPr>
                    <w:pStyle w:val="99"/>
                    <w:widowControl w:val="0"/>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循环使用不外排</w:t>
                  </w:r>
                </w:p>
              </w:tc>
            </w:tr>
            <w:tr w14:paraId="1953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0" w:type="pct"/>
                  <w:noWrap w:val="0"/>
                  <w:vAlign w:val="center"/>
                </w:tcPr>
                <w:p w14:paraId="6C7F97BF">
                  <w:pPr>
                    <w:keepNext w:val="0"/>
                    <w:keepLines w:val="0"/>
                    <w:pageBreakBefore w:val="0"/>
                    <w:wordWrap/>
                    <w:overflowPunct/>
                    <w:topLinePunct w:val="0"/>
                    <w:bidi w:val="0"/>
                    <w:ind w:left="0" w:leftChars="0"/>
                    <w:jc w:val="cente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cs="宋体"/>
                      <w:color w:val="000000" w:themeColor="text1"/>
                      <w:spacing w:val="-7"/>
                      <w:sz w:val="21"/>
                      <w:szCs w:val="21"/>
                      <w:highlight w:val="none"/>
                      <w:lang w:val="en-US" w:eastAsia="zh-CN"/>
                      <w14:textFill>
                        <w14:solidFill>
                          <w14:schemeClr w14:val="tx1"/>
                        </w14:solidFill>
                      </w14:textFill>
                    </w:rPr>
                    <w:t>切削液</w:t>
                  </w:r>
                  <w:r>
                    <w:rPr>
                      <w:rFonts w:hint="default" w:ascii="Times New Roman" w:hAnsi="Times New Roman" w:eastAsia="宋体" w:cs="宋体"/>
                      <w:color w:val="000000" w:themeColor="text1"/>
                      <w:spacing w:val="-7"/>
                      <w:sz w:val="21"/>
                      <w:szCs w:val="21"/>
                      <w:highlight w:val="none"/>
                      <w:lang w:val="en-US" w:eastAsia="zh-CN"/>
                      <w14:textFill>
                        <w14:solidFill>
                          <w14:schemeClr w14:val="tx1"/>
                        </w14:solidFill>
                      </w14:textFill>
                    </w:rPr>
                    <w:t>调配用水</w:t>
                  </w:r>
                </w:p>
              </w:tc>
              <w:tc>
                <w:tcPr>
                  <w:tcW w:w="973" w:type="pct"/>
                  <w:noWrap w:val="0"/>
                  <w:vAlign w:val="center"/>
                </w:tcPr>
                <w:p w14:paraId="6D0C7172">
                  <w:pPr>
                    <w:pStyle w:val="48"/>
                    <w:jc w:val="cente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ascii="Times New Roman" w:cs="Times New Roman"/>
                      <w:snapToGrid w:val="0"/>
                      <w:color w:val="000000" w:themeColor="text1"/>
                      <w:kern w:val="2"/>
                      <w:sz w:val="21"/>
                      <w:szCs w:val="21"/>
                      <w:vertAlign w:val="baseline"/>
                      <w:lang w:val="en-US" w:eastAsia="zh-CN" w:bidi="ar-SA"/>
                      <w14:textFill>
                        <w14:solidFill>
                          <w14:schemeClr w14:val="tx1"/>
                        </w14:solidFill>
                      </w14:textFill>
                    </w:rPr>
                    <w:t>20</w:t>
                  </w:r>
                </w:p>
              </w:tc>
              <w:tc>
                <w:tcPr>
                  <w:tcW w:w="1169" w:type="pct"/>
                  <w:noWrap w:val="0"/>
                  <w:vAlign w:val="center"/>
                </w:tcPr>
                <w:p w14:paraId="5E9E94E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1.35</w:t>
                  </w:r>
                </w:p>
              </w:tc>
              <w:tc>
                <w:tcPr>
                  <w:tcW w:w="1806" w:type="pct"/>
                  <w:noWrap w:val="0"/>
                  <w:vAlign w:val="center"/>
                </w:tcPr>
                <w:p w14:paraId="748246A6">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交由具有相关危险废物经营许可证的单位处理</w:t>
                  </w:r>
                </w:p>
              </w:tc>
            </w:tr>
            <w:tr w14:paraId="35E1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pct"/>
                  <w:noWrap w:val="0"/>
                  <w:vAlign w:val="center"/>
                </w:tcPr>
                <w:p w14:paraId="20E39108">
                  <w:pPr>
                    <w:keepNext w:val="0"/>
                    <w:keepLines w:val="0"/>
                    <w:pageBreakBefore w:val="0"/>
                    <w:wordWrap/>
                    <w:overflowPunct/>
                    <w:topLinePunct w:val="0"/>
                    <w:bidi w:val="0"/>
                    <w:ind w:left="0" w:leftChars="0"/>
                    <w:jc w:val="cente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宋体"/>
                      <w:color w:val="000000" w:themeColor="text1"/>
                      <w:spacing w:val="-7"/>
                      <w:sz w:val="21"/>
                      <w:szCs w:val="21"/>
                      <w:highlight w:val="none"/>
                      <w:lang w:val="en-US" w:eastAsia="zh-CN"/>
                      <w14:textFill>
                        <w14:solidFill>
                          <w14:schemeClr w14:val="tx1"/>
                        </w14:solidFill>
                      </w14:textFill>
                    </w:rPr>
                    <w:t>脱模</w:t>
                  </w:r>
                  <w:r>
                    <w:rPr>
                      <w:rFonts w:hint="eastAsia" w:ascii="Times New Roman" w:hAnsi="Times New Roman" w:eastAsia="宋体" w:cs="宋体"/>
                      <w:color w:val="000000" w:themeColor="text1"/>
                      <w:spacing w:val="-7"/>
                      <w:sz w:val="21"/>
                      <w:szCs w:val="21"/>
                      <w:highlight w:val="none"/>
                      <w:lang w:val="en-US" w:eastAsia="zh-CN"/>
                      <w14:textFill>
                        <w14:solidFill>
                          <w14:schemeClr w14:val="tx1"/>
                        </w14:solidFill>
                      </w14:textFill>
                    </w:rPr>
                    <w:t>剂调配</w:t>
                  </w:r>
                  <w:r>
                    <w:rPr>
                      <w:rFonts w:hint="default" w:ascii="Times New Roman" w:hAnsi="Times New Roman" w:eastAsia="宋体" w:cs="宋体"/>
                      <w:color w:val="000000" w:themeColor="text1"/>
                      <w:spacing w:val="-7"/>
                      <w:sz w:val="21"/>
                      <w:szCs w:val="21"/>
                      <w:highlight w:val="none"/>
                      <w:lang w:val="en-US" w:eastAsia="zh-CN"/>
                      <w14:textFill>
                        <w14:solidFill>
                          <w14:schemeClr w14:val="tx1"/>
                        </w14:solidFill>
                      </w14:textFill>
                    </w:rPr>
                    <w:t>用水</w:t>
                  </w:r>
                </w:p>
              </w:tc>
              <w:tc>
                <w:tcPr>
                  <w:tcW w:w="973" w:type="pct"/>
                  <w:noWrap w:val="0"/>
                  <w:vAlign w:val="center"/>
                </w:tcPr>
                <w:p w14:paraId="4EE8F724">
                  <w:pPr>
                    <w:pStyle w:val="48"/>
                    <w:jc w:val="cente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ascii="Times New Roman" w:cs="Times New Roman"/>
                      <w:snapToGrid w:val="0"/>
                      <w:color w:val="000000" w:themeColor="text1"/>
                      <w:kern w:val="2"/>
                      <w:sz w:val="21"/>
                      <w:szCs w:val="21"/>
                      <w:vertAlign w:val="baseline"/>
                      <w:lang w:val="en-US" w:eastAsia="zh-CN" w:bidi="ar-SA"/>
                      <w14:textFill>
                        <w14:solidFill>
                          <w14:schemeClr w14:val="tx1"/>
                        </w14:solidFill>
                      </w14:textFill>
                    </w:rPr>
                    <w:t>450</w:t>
                  </w:r>
                </w:p>
              </w:tc>
              <w:tc>
                <w:tcPr>
                  <w:tcW w:w="1169" w:type="pct"/>
                  <w:noWrap w:val="0"/>
                  <w:vAlign w:val="center"/>
                </w:tcPr>
                <w:p w14:paraId="541D6AE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806" w:type="pct"/>
                  <w:noWrap w:val="0"/>
                  <w:vAlign w:val="center"/>
                </w:tcPr>
                <w:p w14:paraId="63F42B8E">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损耗蒸发</w:t>
                  </w:r>
                </w:p>
              </w:tc>
            </w:tr>
            <w:tr w14:paraId="30C2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pct"/>
                  <w:noWrap w:val="0"/>
                  <w:vAlign w:val="center"/>
                </w:tcPr>
                <w:p w14:paraId="4DBFD1B6">
                  <w:pPr>
                    <w:pStyle w:val="99"/>
                    <w:keepNext w:val="0"/>
                    <w:keepLines w:val="0"/>
                    <w:pageBreakBefore w:val="0"/>
                    <w:widowControl w:val="0"/>
                    <w:kinsoku/>
                    <w:bidi w:val="0"/>
                    <w:adjustRightInd w:val="0"/>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水喷淋用水</w:t>
                  </w:r>
                </w:p>
              </w:tc>
              <w:tc>
                <w:tcPr>
                  <w:tcW w:w="973" w:type="pct"/>
                  <w:noWrap w:val="0"/>
                  <w:vAlign w:val="center"/>
                </w:tcPr>
                <w:p w14:paraId="77064B59">
                  <w:pPr>
                    <w:pStyle w:val="99"/>
                    <w:widowControl w:val="0"/>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1808.28</w:t>
                  </w:r>
                </w:p>
              </w:tc>
              <w:tc>
                <w:tcPr>
                  <w:tcW w:w="1169" w:type="pct"/>
                  <w:noWrap w:val="0"/>
                  <w:vAlign w:val="center"/>
                </w:tcPr>
                <w:p w14:paraId="0CC96CD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8.28</w:t>
                  </w:r>
                </w:p>
              </w:tc>
              <w:tc>
                <w:tcPr>
                  <w:tcW w:w="1806" w:type="pct"/>
                  <w:vMerge w:val="restart"/>
                  <w:noWrap w:val="0"/>
                  <w:vAlign w:val="center"/>
                </w:tcPr>
                <w:p w14:paraId="718049EA">
                  <w:pPr>
                    <w:pStyle w:val="48"/>
                    <w:jc w:val="center"/>
                    <w:rPr>
                      <w:rFonts w:hint="eastAsia" w:asci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14:textFill>
                        <w14:solidFill>
                          <w14:schemeClr w14:val="tx1"/>
                        </w14:solidFill>
                      </w14:textFill>
                    </w:rPr>
                    <w:t>收集后委托给有处</w:t>
                  </w:r>
                  <w:r>
                    <w:rPr>
                      <w:rFonts w:hint="default" w:ascii="Times New Roman" w:hAnsi="Times New Roman" w:eastAsia="宋体" w:cs="Times New Roman"/>
                      <w:color w:val="000000" w:themeColor="text1"/>
                      <w:spacing w:val="8"/>
                      <w:sz w:val="21"/>
                      <w:szCs w:val="21"/>
                      <w14:textFill>
                        <w14:solidFill>
                          <w14:schemeClr w14:val="tx1"/>
                        </w14:solidFill>
                      </w14:textFill>
                    </w:rPr>
                    <w:t>理能力的废水处理</w:t>
                  </w:r>
                  <w:r>
                    <w:rPr>
                      <w:rFonts w:hint="default" w:ascii="Times New Roman" w:hAnsi="Times New Roman" w:eastAsia="宋体" w:cs="Times New Roman"/>
                      <w:color w:val="000000" w:themeColor="text1"/>
                      <w:spacing w:val="7"/>
                      <w:sz w:val="21"/>
                      <w:szCs w:val="21"/>
                      <w14:textFill>
                        <w14:solidFill>
                          <w14:schemeClr w14:val="tx1"/>
                        </w14:solidFill>
                      </w14:textFill>
                    </w:rPr>
                    <w:t>机构处理</w:t>
                  </w:r>
                </w:p>
              </w:tc>
            </w:tr>
            <w:tr w14:paraId="36AE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pct"/>
                  <w:noWrap w:val="0"/>
                  <w:vAlign w:val="center"/>
                </w:tcPr>
                <w:p w14:paraId="63CDF00C">
                  <w:pPr>
                    <w:pStyle w:val="99"/>
                    <w:keepNext w:val="0"/>
                    <w:keepLines w:val="0"/>
                    <w:pageBreakBefore w:val="0"/>
                    <w:widowControl w:val="0"/>
                    <w:kinsoku/>
                    <w:bidi w:val="0"/>
                    <w:adjustRightInd w:val="0"/>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抛光用水</w:t>
                  </w:r>
                </w:p>
              </w:tc>
              <w:tc>
                <w:tcPr>
                  <w:tcW w:w="973" w:type="pct"/>
                  <w:noWrap w:val="0"/>
                  <w:vAlign w:val="center"/>
                </w:tcPr>
                <w:p w14:paraId="431837B2">
                  <w:pPr>
                    <w:pStyle w:val="99"/>
                    <w:widowControl w:val="0"/>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33.6</w:t>
                  </w:r>
                </w:p>
              </w:tc>
              <w:tc>
                <w:tcPr>
                  <w:tcW w:w="1169" w:type="pct"/>
                  <w:noWrap w:val="0"/>
                  <w:vAlign w:val="center"/>
                </w:tcPr>
                <w:p w14:paraId="2F6CEC6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9.6</w:t>
                  </w:r>
                </w:p>
              </w:tc>
              <w:tc>
                <w:tcPr>
                  <w:tcW w:w="1806" w:type="pct"/>
                  <w:vMerge w:val="continue"/>
                  <w:noWrap w:val="0"/>
                  <w:vAlign w:val="center"/>
                </w:tcPr>
                <w:p w14:paraId="44553328">
                  <w:pPr>
                    <w:pStyle w:val="48"/>
                    <w:jc w:val="center"/>
                    <w:rPr>
                      <w:rFonts w:hint="eastAsia" w:ascii="Times New Roman" w:cs="Times New Roman"/>
                      <w:color w:val="000000" w:themeColor="text1"/>
                      <w:sz w:val="21"/>
                      <w:szCs w:val="21"/>
                      <w:lang w:val="en-US" w:eastAsia="zh-CN"/>
                      <w14:textFill>
                        <w14:solidFill>
                          <w14:schemeClr w14:val="tx1"/>
                        </w14:solidFill>
                      </w14:textFill>
                    </w:rPr>
                  </w:pPr>
                </w:p>
              </w:tc>
            </w:tr>
            <w:tr w14:paraId="3852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pct"/>
                  <w:noWrap w:val="0"/>
                  <w:vAlign w:val="center"/>
                </w:tcPr>
                <w:p w14:paraId="7B5344DF">
                  <w:pPr>
                    <w:pStyle w:val="99"/>
                    <w:keepNext w:val="0"/>
                    <w:keepLines w:val="0"/>
                    <w:pageBreakBefore w:val="0"/>
                    <w:widowControl w:val="0"/>
                    <w:kinsoku/>
                    <w:bidi w:val="0"/>
                    <w:adjustRightInd w:val="0"/>
                    <w:snapToGrid/>
                    <w:jc w:val="center"/>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研磨用水</w:t>
                  </w:r>
                </w:p>
              </w:tc>
              <w:tc>
                <w:tcPr>
                  <w:tcW w:w="973" w:type="pct"/>
                  <w:noWrap w:val="0"/>
                  <w:vAlign w:val="center"/>
                </w:tcPr>
                <w:p w14:paraId="1E0A617E">
                  <w:pPr>
                    <w:pStyle w:val="99"/>
                    <w:widowControl w:val="0"/>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11.76</w:t>
                  </w:r>
                </w:p>
              </w:tc>
              <w:tc>
                <w:tcPr>
                  <w:tcW w:w="1169" w:type="pct"/>
                  <w:noWrap w:val="0"/>
                  <w:vAlign w:val="center"/>
                </w:tcPr>
                <w:p w14:paraId="6635637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3.36</w:t>
                  </w:r>
                </w:p>
              </w:tc>
              <w:tc>
                <w:tcPr>
                  <w:tcW w:w="1806" w:type="pct"/>
                  <w:vMerge w:val="continue"/>
                  <w:noWrap w:val="0"/>
                  <w:vAlign w:val="center"/>
                </w:tcPr>
                <w:p w14:paraId="14937639">
                  <w:pPr>
                    <w:pStyle w:val="48"/>
                    <w:jc w:val="center"/>
                    <w:rPr>
                      <w:rFonts w:hint="eastAsia" w:ascii="Times New Roman" w:cs="Times New Roman"/>
                      <w:color w:val="000000" w:themeColor="text1"/>
                      <w:sz w:val="21"/>
                      <w:szCs w:val="21"/>
                      <w:lang w:val="en-US" w:eastAsia="zh-CN"/>
                      <w14:textFill>
                        <w14:solidFill>
                          <w14:schemeClr w14:val="tx1"/>
                        </w14:solidFill>
                      </w14:textFill>
                    </w:rPr>
                  </w:pPr>
                </w:p>
              </w:tc>
            </w:tr>
            <w:tr w14:paraId="6B24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pct"/>
                  <w:noWrap w:val="0"/>
                  <w:vAlign w:val="center"/>
                </w:tcPr>
                <w:p w14:paraId="065C0578">
                  <w:pPr>
                    <w:pStyle w:val="99"/>
                    <w:keepNext w:val="0"/>
                    <w:keepLines w:val="0"/>
                    <w:pageBreakBefore w:val="0"/>
                    <w:widowControl w:val="0"/>
                    <w:kinsoku/>
                    <w:bidi w:val="0"/>
                    <w:adjustRightInd w:val="0"/>
                    <w:snapToGrid/>
                    <w:jc w:val="center"/>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合计</w:t>
                  </w:r>
                </w:p>
              </w:tc>
              <w:tc>
                <w:tcPr>
                  <w:tcW w:w="1282" w:type="dxa"/>
                  <w:noWrap w:val="0"/>
                  <w:vAlign w:val="center"/>
                </w:tcPr>
                <w:p w14:paraId="539E5E0E">
                  <w:pPr>
                    <w:keepNext w:val="0"/>
                    <w:keepLines w:val="0"/>
                    <w:widowControl/>
                    <w:suppressLineNumbers w:val="0"/>
                    <w:jc w:val="center"/>
                    <w:textAlignment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2568.64</w:t>
                  </w:r>
                </w:p>
              </w:tc>
              <w:tc>
                <w:tcPr>
                  <w:tcW w:w="1541" w:type="dxa"/>
                  <w:noWrap w:val="0"/>
                  <w:vAlign w:val="center"/>
                </w:tcPr>
                <w:p w14:paraId="1938C4A0">
                  <w:pPr>
                    <w:keepNext w:val="0"/>
                    <w:keepLines w:val="0"/>
                    <w:widowControl/>
                    <w:suppressLineNumbers w:val="0"/>
                    <w:jc w:val="center"/>
                    <w:textAlignment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w:t>
                  </w:r>
                </w:p>
              </w:tc>
              <w:tc>
                <w:tcPr>
                  <w:tcW w:w="1806" w:type="pct"/>
                  <w:noWrap w:val="0"/>
                  <w:vAlign w:val="center"/>
                </w:tcPr>
                <w:p w14:paraId="6ECA4453">
                  <w:pPr>
                    <w:pStyle w:val="48"/>
                    <w:jc w:val="center"/>
                    <w:rPr>
                      <w:rFonts w:hint="default" w:ascii="Times New Roman" w:cs="Times New Roman"/>
                      <w:color w:val="000000" w:themeColor="text1"/>
                      <w:sz w:val="21"/>
                      <w:szCs w:val="21"/>
                      <w:lang w:val="en-US" w:eastAsia="zh-CN"/>
                      <w14:textFill>
                        <w14:solidFill>
                          <w14:schemeClr w14:val="tx1"/>
                        </w14:solidFill>
                      </w14:textFill>
                    </w:rPr>
                  </w:pPr>
                  <w:r>
                    <w:rPr>
                      <w:rFonts w:hint="eastAsia" w:ascii="Times New Roman" w:cs="Times New Roman"/>
                      <w:color w:val="000000" w:themeColor="text1"/>
                      <w:sz w:val="21"/>
                      <w:szCs w:val="21"/>
                      <w:lang w:val="en-US" w:eastAsia="zh-CN"/>
                      <w14:textFill>
                        <w14:solidFill>
                          <w14:schemeClr w14:val="tx1"/>
                        </w14:solidFill>
                      </w14:textFill>
                    </w:rPr>
                    <w:t>/</w:t>
                  </w:r>
                </w:p>
              </w:tc>
            </w:tr>
          </w:tbl>
          <w:p w14:paraId="0B3C9E0F">
            <w:pPr>
              <w:shd w:val="clear"/>
              <w:rPr>
                <w:rFonts w:hint="default" w:ascii="Times New Roman" w:hAnsi="Times New Roman" w:eastAsia="宋体" w:cs="Times New Roman"/>
                <w:b/>
                <w:bCs/>
                <w:color w:val="000000" w:themeColor="text1"/>
                <w:spacing w:val="-1"/>
                <w:sz w:val="24"/>
                <w:szCs w:val="24"/>
                <w:highlight w:val="none"/>
                <w:lang w:val="en-US" w:eastAsia="zh-CN"/>
                <w14:textFill>
                  <w14:solidFill>
                    <w14:schemeClr w14:val="tx1"/>
                  </w14:solidFill>
                </w14:textFill>
              </w:rPr>
            </w:pPr>
          </w:p>
          <w:p w14:paraId="2DDACE7F">
            <w:pPr>
              <w:pageBreakBefore w:val="0"/>
              <w:widowControl w:val="0"/>
              <w:shd w:val="clear"/>
              <w:kinsoku/>
              <w:bidi w:val="0"/>
              <w:spacing w:line="360" w:lineRule="auto"/>
              <w:ind w:firstLine="478"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pacing w:val="-1"/>
                <w:sz w:val="24"/>
                <w:szCs w:val="24"/>
                <w:highlight w:val="none"/>
                <w:lang w:val="en-US" w:eastAsia="zh-CN"/>
                <w14:textFill>
                  <w14:solidFill>
                    <w14:schemeClr w14:val="tx1"/>
                  </w14:solidFill>
                </w14:textFill>
              </w:rPr>
              <w:t>7、能耗情况</w:t>
            </w:r>
          </w:p>
          <w:p w14:paraId="25860E8B">
            <w:pPr>
              <w:keepNext w:val="0"/>
              <w:keepLines w:val="0"/>
              <w:pageBreakBefore w:val="0"/>
              <w:widowControl w:val="0"/>
              <w:shd w:val="clear"/>
              <w:kinsoku/>
              <w:wordWrap/>
              <w:overflowPunct/>
              <w:topLinePunct w:val="0"/>
              <w:autoSpaceDE/>
              <w:autoSpaceDN/>
              <w:bidi w:val="0"/>
              <w:adjustRightInd/>
              <w:snapToGrid/>
              <w:spacing w:line="360" w:lineRule="auto"/>
              <w:ind w:firstLine="482" w:firstLineChars="200"/>
              <w:jc w:val="center"/>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w:t>
            </w:r>
            <w:r>
              <w:rPr>
                <w:rFonts w:hint="eastAsia" w:cs="Times New Roman"/>
                <w:b/>
                <w:bCs/>
                <w:color w:val="000000" w:themeColor="text1"/>
                <w:kern w:val="2"/>
                <w:sz w:val="24"/>
                <w:szCs w:val="24"/>
                <w:highlight w:val="none"/>
                <w:lang w:val="en-US" w:eastAsia="zh-CN" w:bidi="ar-SA"/>
                <w14:textFill>
                  <w14:solidFill>
                    <w14:schemeClr w14:val="tx1"/>
                  </w14:solidFill>
                </w14:textFill>
              </w:rPr>
              <w:t>12主要资源和</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能源消耗一览表</w:t>
            </w:r>
          </w:p>
          <w:tbl>
            <w:tblPr>
              <w:tblStyle w:val="33"/>
              <w:tblW w:w="40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9"/>
              <w:gridCol w:w="2803"/>
              <w:gridCol w:w="2232"/>
            </w:tblGrid>
            <w:tr w14:paraId="6FFD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5" w:type="pct"/>
                  <w:vAlign w:val="center"/>
                </w:tcPr>
                <w:p w14:paraId="31AE3293">
                  <w:pPr>
                    <w:keepNext w:val="0"/>
                    <w:keepLines w:val="0"/>
                    <w:suppressLineNumbers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名称</w:t>
                  </w:r>
                </w:p>
              </w:tc>
              <w:tc>
                <w:tcPr>
                  <w:tcW w:w="2056" w:type="pct"/>
                  <w:vAlign w:val="center"/>
                </w:tcPr>
                <w:p w14:paraId="17D1ADD1">
                  <w:pPr>
                    <w:keepNext w:val="0"/>
                    <w:keepLines w:val="0"/>
                    <w:suppressLineNumbers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年用量</w:t>
                  </w:r>
                </w:p>
              </w:tc>
              <w:tc>
                <w:tcPr>
                  <w:tcW w:w="1637" w:type="pct"/>
                  <w:vAlign w:val="center"/>
                </w:tcPr>
                <w:p w14:paraId="01CF3C8F">
                  <w:pPr>
                    <w:keepNext w:val="0"/>
                    <w:keepLines w:val="0"/>
                    <w:suppressLineNumbers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备注</w:t>
                  </w:r>
                </w:p>
              </w:tc>
            </w:tr>
            <w:tr w14:paraId="54ED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5" w:type="pct"/>
                  <w:vAlign w:val="center"/>
                </w:tcPr>
                <w:p w14:paraId="5C06DFA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电</w:t>
                  </w:r>
                </w:p>
              </w:tc>
              <w:tc>
                <w:tcPr>
                  <w:tcW w:w="2056" w:type="pct"/>
                  <w:vAlign w:val="center"/>
                </w:tcPr>
                <w:p w14:paraId="382F7ADE">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30</w:t>
                  </w:r>
                  <w:r>
                    <w:rPr>
                      <w:rFonts w:hint="default" w:ascii="Times New Roman" w:hAnsi="Times New Roman" w:cs="Times New Roman"/>
                      <w:color w:val="000000" w:themeColor="text1"/>
                      <w:szCs w:val="21"/>
                      <w:highlight w:val="none"/>
                      <w14:textFill>
                        <w14:solidFill>
                          <w14:schemeClr w14:val="tx1"/>
                        </w14:solidFill>
                      </w14:textFill>
                    </w:rPr>
                    <w:t>万度</w:t>
                  </w:r>
                </w:p>
              </w:tc>
              <w:tc>
                <w:tcPr>
                  <w:tcW w:w="1637" w:type="pct"/>
                  <w:vAlign w:val="center"/>
                </w:tcPr>
                <w:p w14:paraId="690C961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市政供电</w:t>
                  </w:r>
                </w:p>
              </w:tc>
            </w:tr>
            <w:tr w14:paraId="4121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5" w:type="pct"/>
                  <w:vAlign w:val="center"/>
                </w:tcPr>
                <w:p w14:paraId="1DAF07EF">
                  <w:pPr>
                    <w:keepNext w:val="0"/>
                    <w:keepLines w:val="0"/>
                    <w:suppressLineNumbers w:val="0"/>
                    <w:snapToGrid w:val="0"/>
                    <w:spacing w:before="0" w:beforeAutospacing="0" w:after="0" w:afterAutospacing="0"/>
                    <w:ind w:left="0" w:right="0"/>
                    <w:jc w:val="cente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水</w:t>
                  </w:r>
                </w:p>
              </w:tc>
              <w:tc>
                <w:tcPr>
                  <w:tcW w:w="2056" w:type="pct"/>
                  <w:vAlign w:val="center"/>
                </w:tcPr>
                <w:p w14:paraId="4BFC867E">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000000" w:themeColor="text1"/>
                      <w:szCs w:val="2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2568.64</w:t>
                  </w:r>
                  <w:r>
                    <w:rPr>
                      <w:rFonts w:hint="default" w:ascii="Times New Roman" w:hAnsi="Times New Roman" w:cs="Times New Roman"/>
                      <w:color w:val="000000" w:themeColor="text1"/>
                      <w:highlight w:val="none"/>
                      <w:lang w:val="en-US" w:eastAsia="zh-CN"/>
                      <w14:textFill>
                        <w14:solidFill>
                          <w14:schemeClr w14:val="tx1"/>
                        </w14:solidFill>
                      </w14:textFill>
                    </w:rPr>
                    <w:t>吨</w:t>
                  </w:r>
                </w:p>
              </w:tc>
              <w:tc>
                <w:tcPr>
                  <w:tcW w:w="1637" w:type="pct"/>
                  <w:vAlign w:val="center"/>
                </w:tcPr>
                <w:p w14:paraId="774B7811">
                  <w:pPr>
                    <w:keepNext w:val="0"/>
                    <w:keepLines w:val="0"/>
                    <w:suppressLineNumbers w:val="0"/>
                    <w:snapToGrid w:val="0"/>
                    <w:spacing w:before="0" w:beforeAutospacing="0" w:after="0" w:afterAutospacing="0"/>
                    <w:ind w:left="0" w:right="0"/>
                    <w:jc w:val="cente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市政供水</w:t>
                  </w:r>
                </w:p>
              </w:tc>
            </w:tr>
            <w:tr w14:paraId="215F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5" w:type="pct"/>
                  <w:vAlign w:val="center"/>
                </w:tcPr>
                <w:p w14:paraId="4C8CD9CF">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液化石油气</w:t>
                  </w:r>
                </w:p>
              </w:tc>
              <w:tc>
                <w:tcPr>
                  <w:tcW w:w="2056" w:type="pct"/>
                  <w:vAlign w:val="center"/>
                </w:tcPr>
                <w:p w14:paraId="61F98712">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12199m³</w:t>
                  </w:r>
                </w:p>
              </w:tc>
              <w:tc>
                <w:tcPr>
                  <w:tcW w:w="1637" w:type="pct"/>
                  <w:vAlign w:val="center"/>
                </w:tcPr>
                <w:p w14:paraId="5CFE249B">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外购</w:t>
                  </w:r>
                </w:p>
              </w:tc>
            </w:tr>
          </w:tbl>
          <w:p w14:paraId="61730B88">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注：液化石油气年用量为28.67t（28670kg），气态密度为2.35</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kg/m³，则年用量为28670/2.35=12199m³</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p>
          <w:p w14:paraId="398240FD">
            <w:pPr>
              <w:keepNext w:val="0"/>
              <w:keepLines w:val="0"/>
              <w:pageBreakBefore w:val="0"/>
              <w:widowControl w:val="0"/>
              <w:numPr>
                <w:ilvl w:val="0"/>
                <w:numId w:val="7"/>
              </w:numPr>
              <w:shd w:val="clea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平面布置情况</w:t>
            </w:r>
          </w:p>
          <w:p w14:paraId="5DFD8E6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本项目选址于</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中山市南朗街道第六工业区逸仙公路222号B栋C区</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项目最近敏感点（京珠高速公路广珠段改扩建管理处）位于项目</w:t>
            </w:r>
            <w:r>
              <w:rPr>
                <w:rFonts w:hint="eastAsia" w:ascii="Times New Roman" w:cs="Times New Roman"/>
                <w:color w:val="000000" w:themeColor="text1"/>
                <w:sz w:val="21"/>
                <w:szCs w:val="21"/>
                <w:highlight w:val="none"/>
                <w:lang w:val="en-US" w:eastAsia="zh-CN"/>
                <w14:textFill>
                  <w14:solidFill>
                    <w14:schemeClr w14:val="tx1"/>
                  </w14:solidFill>
                </w14:textFill>
              </w:rPr>
              <w:t>西南</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面，距离项目约</w:t>
            </w:r>
            <w:r>
              <w:rPr>
                <w:rFonts w:hint="eastAsia" w:ascii="Times New Roman" w:cs="Times New Roman"/>
                <w:color w:val="000000" w:themeColor="text1"/>
                <w:sz w:val="21"/>
                <w:szCs w:val="21"/>
                <w:highlight w:val="none"/>
                <w:lang w:val="en-US" w:eastAsia="zh-CN"/>
                <w14:textFill>
                  <w14:solidFill>
                    <w14:schemeClr w14:val="tx1"/>
                  </w14:solidFill>
                </w14:textFill>
              </w:rPr>
              <w:t>231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米。产噪设备尽可能往厂区</w:t>
            </w:r>
            <w:r>
              <w:rPr>
                <w:rFonts w:hint="eastAsia" w:cs="Times New Roman"/>
                <w:color w:val="000000" w:themeColor="text1"/>
                <w:sz w:val="21"/>
                <w:szCs w:val="21"/>
                <w:highlight w:val="none"/>
                <w:lang w:val="en-US" w:eastAsia="zh-CN"/>
                <w14:textFill>
                  <w14:solidFill>
                    <w14:schemeClr w14:val="tx1"/>
                  </w14:solidFill>
                </w14:textFill>
              </w:rPr>
              <w:t>中部和</w:t>
            </w:r>
            <w:r>
              <w:rPr>
                <w:rFonts w:hint="eastAsia" w:ascii="Times New Roman" w:cs="Times New Roman"/>
                <w:color w:val="000000" w:themeColor="text1"/>
                <w:sz w:val="21"/>
                <w:szCs w:val="21"/>
                <w:highlight w:val="none"/>
                <w:lang w:val="en-US" w:eastAsia="zh-CN"/>
                <w14:textFill>
                  <w14:solidFill>
                    <w14:schemeClr w14:val="tx1"/>
                  </w14:solidFill>
                </w14:textFill>
              </w:rPr>
              <w:t>北</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部摆放，高噪声设备位于厂区</w:t>
            </w:r>
            <w:r>
              <w:rPr>
                <w:rFonts w:hint="eastAsia" w:ascii="Times New Roman" w:cs="Times New Roman"/>
                <w:color w:val="000000" w:themeColor="text1"/>
                <w:sz w:val="21"/>
                <w:szCs w:val="21"/>
                <w:highlight w:val="none"/>
                <w:lang w:val="en-US" w:eastAsia="zh-CN"/>
                <w14:textFill>
                  <w14:solidFill>
                    <w14:schemeClr w14:val="tx1"/>
                  </w14:solidFill>
                </w14:textFill>
              </w:rPr>
              <w:t>北</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部，</w:t>
            </w:r>
            <w:r>
              <w:rPr>
                <w:rFonts w:hint="eastAsia" w:ascii="宋体" w:hAnsi="宋体" w:eastAsia="宋体" w:cs="宋体"/>
                <w:color w:val="000000" w:themeColor="text1"/>
                <w:kern w:val="0"/>
                <w:sz w:val="21"/>
                <w:szCs w:val="21"/>
                <w:lang w:val="en-US" w:eastAsia="zh-CN" w:bidi="ar"/>
                <w14:textFill>
                  <w14:solidFill>
                    <w14:schemeClr w14:val="tx1"/>
                  </w14:solidFill>
                </w14:textFill>
              </w:rPr>
              <w:t>高噪声设备距离项目最近敏感点（京珠高速公路广珠段改扩建管理处）为</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47</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m</w:t>
            </w:r>
            <w:r>
              <w:rPr>
                <w:rFonts w:hint="eastAsia" w:asci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产生的噪声不会对周围敏感点造成影响。</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w:t>
            </w:r>
            <w:r>
              <w:rPr>
                <w:rFonts w:hint="eastAsia" w:cs="Times New Roman"/>
                <w:color w:val="000000" w:themeColor="text1"/>
                <w:sz w:val="21"/>
                <w:szCs w:val="21"/>
                <w:highlight w:val="none"/>
                <w:lang w:val="en-US" w:eastAsia="zh-CN"/>
                <w14:textFill>
                  <w14:solidFill>
                    <w14:schemeClr w14:val="tx1"/>
                  </w14:solidFill>
                </w14:textFill>
              </w:rPr>
              <w:t>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熔融、压铸、脱模废气集气罩收集、液化石油气</w:t>
            </w:r>
            <w:r>
              <w:rPr>
                <w:rFonts w:hint="eastAsia" w:cs="Times New Roman"/>
                <w:color w:val="000000" w:themeColor="text1"/>
                <w:sz w:val="21"/>
                <w:szCs w:val="21"/>
                <w:highlight w:val="none"/>
                <w:lang w:val="en-US" w:eastAsia="zh-CN"/>
                <w14:textFill>
                  <w14:solidFill>
                    <w14:schemeClr w14:val="tx1"/>
                  </w14:solidFill>
                </w14:textFill>
              </w:rPr>
              <w:t>燃烧废气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经</w:t>
            </w:r>
            <w:r>
              <w:rPr>
                <w:rFonts w:hint="eastAsia" w:cs="Times New Roman"/>
                <w:color w:val="000000" w:themeColor="text1"/>
                <w:sz w:val="21"/>
                <w:szCs w:val="21"/>
                <w:highlight w:val="none"/>
                <w:lang w:val="en-US" w:eastAsia="zh-CN"/>
                <w14:textFill>
                  <w14:solidFill>
                    <w14:schemeClr w14:val="tx1"/>
                  </w14:solidFill>
                </w14:textFill>
              </w:rPr>
              <w:t>管道</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收集，收集</w:t>
            </w:r>
            <w:r>
              <w:rPr>
                <w:rFonts w:hint="eastAsia" w:cs="Times New Roman"/>
                <w:color w:val="000000" w:themeColor="text1"/>
                <w:sz w:val="21"/>
                <w:szCs w:val="21"/>
                <w:highlight w:val="none"/>
                <w:lang w:val="en-US" w:eastAsia="zh-CN"/>
                <w14:textFill>
                  <w14:solidFill>
                    <w14:schemeClr w14:val="tx1"/>
                  </w14:solidFill>
                </w14:textFill>
              </w:rPr>
              <w:t>后的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废气经水喷淋装置处理后</w:t>
            </w:r>
            <w:r>
              <w:rPr>
                <w:rFonts w:hint="eastAsia" w:cs="Times New Roman"/>
                <w:color w:val="000000" w:themeColor="text1"/>
                <w:sz w:val="21"/>
                <w:szCs w:val="21"/>
                <w:highlight w:val="none"/>
                <w:lang w:val="en-US" w:eastAsia="zh-CN"/>
                <w14:textFill>
                  <w14:solidFill>
                    <w14:schemeClr w14:val="tx1"/>
                  </w14:solidFill>
                </w14:textFill>
              </w:rPr>
              <w:t>排气筒有组织排放；钻孔攻牙废气产生的</w:t>
            </w:r>
            <w:r>
              <w:rPr>
                <w:rFonts w:hint="eastAsia" w:ascii="Times New Roman" w:hAnsi="Times New Roman" w:eastAsia="宋体"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非甲烷总烃</w:t>
            </w:r>
            <w:r>
              <w:rPr>
                <w:rFonts w:hint="eastAsia"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和臭气浓度</w:t>
            </w:r>
            <w:r>
              <w:rPr>
                <w:rFonts w:hint="eastAsia" w:cs="Times New Roman"/>
                <w:color w:val="000000" w:themeColor="text1"/>
                <w:sz w:val="21"/>
                <w:szCs w:val="21"/>
                <w:highlight w:val="none"/>
                <w:lang w:val="en-US" w:eastAsia="zh-CN"/>
                <w14:textFill>
                  <w14:solidFill>
                    <w14:schemeClr w14:val="tx1"/>
                  </w14:solidFill>
                </w14:textFill>
              </w:rPr>
              <w:t>无组织排放；研磨废气产生的颗粒物无组织排放；抛光废气产生的颗粒物无组织排放；机加工废气产生的非甲烷总烃、臭气浓度和颗粒物无组织排放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。生产废气排放口分布在厂区中部，</w:t>
            </w:r>
            <w:r>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G1排放口距离项目最近敏感点（京珠高速公路广珠段改扩建管理处）为</w:t>
            </w:r>
            <w:r>
              <w:rPr>
                <w:rFonts w:hint="eastAsia" w:ascii="Times New Roman" w:cs="Times New Roman"/>
                <w:color w:val="000000" w:themeColor="text1"/>
                <w:spacing w:val="7"/>
                <w:sz w:val="21"/>
                <w:szCs w:val="21"/>
                <w:highlight w:val="none"/>
                <w:lang w:val="en-US" w:eastAsia="zh-CN"/>
                <w14:textFill>
                  <w14:solidFill>
                    <w14:schemeClr w14:val="tx1"/>
                  </w14:solidFill>
                </w14:textFill>
              </w:rPr>
              <w:t>245</w:t>
            </w:r>
            <w:r>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m，废气经治理后达标排放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因此本项目的平面布置基本合理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150750EB">
            <w:pPr>
              <w:keepNext w:val="0"/>
              <w:keepLines w:val="0"/>
              <w:pageBreakBefore w:val="0"/>
              <w:widowControl w:val="0"/>
              <w:shd w:val="clear"/>
              <w:kinsoku/>
              <w:wordWrap/>
              <w:overflowPunct/>
              <w:topLinePunct w:val="0"/>
              <w:autoSpaceDE/>
              <w:autoSpaceDN/>
              <w:bidi w:val="0"/>
              <w:adjustRightInd/>
              <w:snapToGrid/>
              <w:spacing w:line="360" w:lineRule="auto"/>
              <w:ind w:left="0"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9、项目四至情况</w:t>
            </w:r>
          </w:p>
          <w:p w14:paraId="5C31050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本项目选址于</w:t>
            </w:r>
            <w:r>
              <w:rPr>
                <w:rFonts w:hint="eastAsia" w:ascii="宋体" w:hAnsi="Times New Roman" w:eastAsia="宋体" w:cs="宋体"/>
                <w:b w:val="0"/>
                <w:bCs w:val="0"/>
                <w:color w:val="000000" w:themeColor="text1"/>
                <w:sz w:val="21"/>
                <w:szCs w:val="21"/>
                <w:lang w:val="en-US" w:eastAsia="zh-CN"/>
                <w14:textFill>
                  <w14:solidFill>
                    <w14:schemeClr w14:val="tx1"/>
                  </w14:solidFill>
                </w14:textFill>
              </w:rPr>
              <w:t>中山市南朗街道第六工业区逸仙公路222号</w:t>
            </w:r>
            <w:r>
              <w:rPr>
                <w:rFonts w:hint="eastAsia" w:cs="宋体"/>
                <w:b w:val="0"/>
                <w:bCs w:val="0"/>
                <w:color w:val="000000" w:themeColor="text1"/>
                <w:sz w:val="21"/>
                <w:szCs w:val="21"/>
                <w:lang w:val="en-US" w:eastAsia="zh-CN"/>
                <w14:textFill>
                  <w14:solidFill>
                    <w14:schemeClr w14:val="tx1"/>
                  </w14:solidFill>
                </w14:textFill>
              </w:rPr>
              <w:t>B栋C区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，项目所在地西北面为耕地；西南面为中山厚德快速模具有限公司；东南面为泛达科技园；东北面为林地</w:t>
            </w:r>
            <w:r>
              <w:rPr>
                <w:rFonts w:hint="eastAsia" w:cs="Times New Roman"/>
                <w:color w:val="000000" w:themeColor="text1"/>
                <w:sz w:val="21"/>
                <w:szCs w:val="21"/>
                <w:highlight w:val="none"/>
                <w:lang w:val="en-US" w:eastAsia="zh-CN"/>
                <w14:textFill>
                  <w14:solidFill>
                    <w14:schemeClr w14:val="tx1"/>
                  </w14:solidFill>
                </w14:textFill>
              </w:rPr>
              <w:t>。</w:t>
            </w:r>
          </w:p>
          <w:p w14:paraId="02AB4C02">
            <w:pPr>
              <w:pStyle w:val="48"/>
              <w:keepNext w:val="0"/>
              <w:keepLines w:val="0"/>
              <w:pageBreakBefore w:val="0"/>
              <w:widowControl w:val="0"/>
              <w:shd w:val="clear"/>
              <w:kinsoku/>
              <w:bidi w:val="0"/>
              <w:snapToGrid/>
              <w:spacing w:line="240" w:lineRule="auto"/>
              <w:ind w:firstLine="420" w:firstLineChars="2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项目四至情况详见附图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r>
      <w:tr w14:paraId="4B6255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8" w:type="dxa"/>
            <w:noWrap w:val="0"/>
            <w:vAlign w:val="center"/>
          </w:tcPr>
          <w:p w14:paraId="7023B65E">
            <w:pPr>
              <w:pStyle w:val="30"/>
              <w:shd w:val="clear"/>
              <w:adjustRightInd w:val="0"/>
              <w:snapToGrid w:val="0"/>
              <w:spacing w:before="0" w:beforeAutospacing="0" w:after="0" w:afterAutospacing="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工艺流程和产排污环节</w:t>
            </w:r>
          </w:p>
        </w:tc>
        <w:tc>
          <w:tcPr>
            <w:tcW w:w="8396" w:type="dxa"/>
            <w:noWrap w:val="0"/>
            <w:vAlign w:val="top"/>
          </w:tcPr>
          <w:p w14:paraId="5B61561E">
            <w:pPr>
              <w:shd w:val="clear"/>
              <w:adjustRightInd w:val="0"/>
              <w:snapToGrid w:val="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工艺流程简述：</w:t>
            </w:r>
          </w:p>
          <w:p w14:paraId="1057AC48">
            <w:pPr>
              <w:numPr>
                <w:ilvl w:val="0"/>
                <w:numId w:val="8"/>
              </w:numPr>
              <w:shd w:val="clear"/>
              <w:adjustRightInd w:val="0"/>
              <w:snapToGrid w:val="0"/>
              <w:ind w:firstLine="422" w:firstLineChars="20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铝合金、锌合金压铸件工艺流程图</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p>
          <w:p w14:paraId="7DE77A22">
            <w:pPr>
              <w:pStyle w:val="48"/>
              <w:widowControl w:val="0"/>
              <w:numPr>
                <w:ilvl w:val="0"/>
                <w:numId w:val="0"/>
              </w:numPr>
              <w:shd w:val="clear"/>
              <w:wordWrap w:val="0"/>
              <w:overflowPunct w:val="0"/>
              <w:topLinePunct/>
              <w:autoSpaceDE w:val="0"/>
              <w:autoSpaceDN w:val="0"/>
              <w:adjustRightInd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object>
                <v:shape id="_x0000_i1026" o:spt="75" type="#_x0000_t75" style="height:355.5pt;width:339.9pt;" o:ole="t" filled="f" o:preferrelative="t" stroked="f" coordsize="21600,21600">
                  <v:path/>
                  <v:fill on="f" focussize="0,0"/>
                  <v:stroke on="f"/>
                  <v:imagedata r:id="rId17" o:title=""/>
                  <o:lock v:ext="edit" aspectratio="f"/>
                  <w10:wrap type="none"/>
                  <w10:anchorlock/>
                </v:shape>
                <o:OLEObject Type="Embed" ProgID="Visio.Drawing.15" ShapeID="_x0000_i1026" DrawAspect="Content" ObjectID="_1468075726" r:id="rId16">
                  <o:LockedField>false</o:LockedField>
                </o:OLEObject>
              </w:object>
            </w:r>
          </w:p>
          <w:p w14:paraId="69EF6A0E">
            <w:pPr>
              <w:keepNext w:val="0"/>
              <w:keepLines w:val="0"/>
              <w:pageBreakBefore w:val="0"/>
              <w:widowControl w:val="0"/>
              <w:shd w:val="clear"/>
              <w:kinsoku/>
              <w:wordWrap/>
              <w:overflowPunct/>
              <w:topLinePunct w:val="0"/>
              <w:autoSpaceDE/>
              <w:autoSpaceDN/>
              <w:bidi w:val="0"/>
              <w:adjustRightInd w:val="0"/>
              <w:snapToGrid w:val="0"/>
              <w:spacing w:line="360" w:lineRule="auto"/>
              <w:ind w:firstLine="422" w:firstLineChars="20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图2项目</w:t>
            </w:r>
            <w:r>
              <w:rPr>
                <w:rFonts w:hint="eastAsia"/>
                <w:b/>
                <w:bCs/>
                <w:color w:val="000000" w:themeColor="text1"/>
                <w:sz w:val="21"/>
                <w:szCs w:val="21"/>
                <w:highlight w:val="none"/>
                <w:lang w:val="en-US" w:eastAsia="zh-CN"/>
                <w14:textFill>
                  <w14:solidFill>
                    <w14:schemeClr w14:val="tx1"/>
                  </w14:solidFill>
                </w14:textFill>
              </w:rPr>
              <w:t>铝合金、锌合金压铸件</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工艺流程图</w:t>
            </w:r>
          </w:p>
          <w:p w14:paraId="6B87C7CF">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sz w:val="24"/>
                <w:szCs w:val="20"/>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工艺流程说明:</w:t>
            </w:r>
          </w:p>
          <w:p w14:paraId="4634FAB0">
            <w:pPr>
              <w:pStyle w:val="76"/>
              <w:shd w:val="clear"/>
              <w:spacing w:line="360" w:lineRule="auto"/>
              <w:ind w:firstLine="420" w:firstLineChars="20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熔融：利用熔炉</w:t>
            </w:r>
            <w:r>
              <w:rPr>
                <w:rFonts w:hint="eastAsia" w:cs="Times New Roman"/>
                <w:color w:val="000000" w:themeColor="text1"/>
                <w:sz w:val="21"/>
                <w:szCs w:val="21"/>
                <w:highlight w:val="none"/>
                <w:lang w:val="en-US" w:eastAsia="zh-CN"/>
                <w14:textFill>
                  <w14:solidFill>
                    <w14:schemeClr w14:val="tx1"/>
                  </w14:solidFill>
                </w14:textFill>
              </w:rPr>
              <w:t>分别</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将锌、铝锭熔融</w:t>
            </w:r>
            <w:r>
              <w:rPr>
                <w:rFonts w:hint="default" w:ascii="Times New Roman" w:hAnsi="Times New Roman" w:eastAsia="宋体" w:cs="Times New Roman"/>
                <w:color w:val="000000" w:themeColor="text1"/>
                <w:sz w:val="21"/>
                <w:szCs w:val="21"/>
                <w:highlight w:val="none"/>
                <w14:textFill>
                  <w14:solidFill>
                    <w14:schemeClr w14:val="tx1"/>
                  </w14:solidFill>
                </w14:textFill>
              </w:rPr>
              <w:t>成液态，</w:t>
            </w:r>
            <w:r>
              <w:rPr>
                <w:rFonts w:hint="eastAsia" w:cs="Times New Roman"/>
                <w:color w:val="000000" w:themeColor="text1"/>
                <w:sz w:val="21"/>
                <w:szCs w:val="21"/>
                <w:highlight w:val="none"/>
                <w:lang w:val="en-US" w:eastAsia="zh-CN"/>
                <w14:textFill>
                  <w14:solidFill>
                    <w14:schemeClr w14:val="tx1"/>
                  </w14:solidFill>
                </w14:textFill>
              </w:rPr>
              <w:t>熔炉</w:t>
            </w:r>
            <w:r>
              <w:rPr>
                <w:rFonts w:hint="default" w:ascii="Times New Roman" w:hAnsi="Times New Roman" w:eastAsia="宋体" w:cs="Times New Roman"/>
                <w:color w:val="000000" w:themeColor="text1"/>
                <w:sz w:val="21"/>
                <w:szCs w:val="21"/>
                <w:highlight w:val="none"/>
                <w14:textFill>
                  <w14:solidFill>
                    <w14:schemeClr w14:val="tx1"/>
                  </w14:solidFill>
                </w14:textFill>
              </w:rPr>
              <w:t>工作时为密闭式，熔融温度为</w:t>
            </w:r>
            <w:r>
              <w:rPr>
                <w:rFonts w:hint="eastAsia" w:cs="Times New Roman"/>
                <w:color w:val="000000" w:themeColor="text1"/>
                <w:sz w:val="21"/>
                <w:szCs w:val="21"/>
                <w:highlight w:val="none"/>
                <w:lang w:val="en-US" w:eastAsia="zh-CN"/>
                <w14:textFill>
                  <w14:solidFill>
                    <w14:schemeClr w14:val="tx1"/>
                  </w14:solidFill>
                </w14:textFill>
              </w:rPr>
              <w:t>680</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燃</w:t>
            </w:r>
            <w:r>
              <w:rPr>
                <w:rFonts w:hint="eastAsia" w:cs="Times New Roman"/>
                <w:color w:val="000000" w:themeColor="text1"/>
                <w:sz w:val="21"/>
                <w:szCs w:val="21"/>
                <w:highlight w:val="none"/>
                <w:lang w:val="en-US" w:eastAsia="zh-CN"/>
                <w14:textFill>
                  <w14:solidFill>
                    <w14:schemeClr w14:val="tx1"/>
                  </w14:solidFill>
                </w14:textFill>
              </w:rPr>
              <w:t>液化石油气</w:t>
            </w:r>
            <w:r>
              <w:rPr>
                <w:rFonts w:hint="default" w:ascii="Times New Roman" w:hAnsi="Times New Roman" w:eastAsia="宋体" w:cs="Times New Roman"/>
                <w:color w:val="000000" w:themeColor="text1"/>
                <w:sz w:val="21"/>
                <w:szCs w:val="21"/>
                <w:highlight w:val="none"/>
                <w14:textFill>
                  <w14:solidFill>
                    <w14:schemeClr w14:val="tx1"/>
                  </w14:solidFill>
                </w14:textFill>
              </w:rPr>
              <w:t>供能。此工序会</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产生熔融废气</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液化石油气</w:t>
            </w:r>
            <w:r>
              <w:rPr>
                <w:rFonts w:hint="default" w:ascii="Times New Roman" w:hAnsi="Times New Roman" w:eastAsia="宋体" w:cs="Times New Roman"/>
                <w:color w:val="000000" w:themeColor="text1"/>
                <w:sz w:val="21"/>
                <w:szCs w:val="21"/>
                <w:highlight w:val="none"/>
                <w14:textFill>
                  <w14:solidFill>
                    <w14:schemeClr w14:val="tx1"/>
                  </w14:solidFill>
                </w14:textFill>
              </w:rPr>
              <w:t>燃烧废气</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（SO₂、NOx、颗粒物</w:t>
            </w:r>
            <w:r>
              <w:rPr>
                <w:rFonts w:hint="eastAsia"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林格曼黑度</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固废、噪声</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年工作时间</w:t>
            </w:r>
            <w:r>
              <w:rPr>
                <w:rFonts w:hint="eastAsia" w:cs="Times New Roman"/>
                <w:color w:val="000000" w:themeColor="text1"/>
                <w:sz w:val="21"/>
                <w:szCs w:val="21"/>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00h。</w:t>
            </w:r>
          </w:p>
          <w:p w14:paraId="002C8F71">
            <w:pPr>
              <w:pStyle w:val="76"/>
              <w:shd w:val="clear"/>
              <w:spacing w:line="360" w:lineRule="auto"/>
              <w:ind w:firstLine="420" w:firstLineChars="20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压铸：将锌锭液、铝锭液通过压铸机分别压入模具型腔制成半成品，</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压铸成型前需在模具腔内喷上配比好的脱模液便于工件后续脱模，冷却方式为间接</w:t>
            </w:r>
            <w:r>
              <w:rPr>
                <w:rFonts w:hint="eastAsia" w:cs="Times New Roman"/>
                <w:color w:val="000000" w:themeColor="text1"/>
                <w:sz w:val="21"/>
                <w:szCs w:val="21"/>
                <w:highlight w:val="none"/>
                <w:lang w:val="en-US" w:eastAsia="zh-CN"/>
                <w14:textFill>
                  <w14:solidFill>
                    <w14:schemeClr w14:val="tx1"/>
                  </w14:solidFill>
                </w14:textFill>
              </w:rPr>
              <w:t>冷却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此工序会</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产生压铸</w:t>
            </w:r>
            <w:r>
              <w:rPr>
                <w:rFonts w:hint="eastAsia" w:cs="Times New Roman"/>
                <w:color w:val="000000" w:themeColor="text1"/>
                <w:sz w:val="21"/>
                <w:szCs w:val="21"/>
                <w:highlight w:val="none"/>
                <w:lang w:val="en-US" w:eastAsia="zh-CN"/>
                <w14:textFill>
                  <w14:solidFill>
                    <w14:schemeClr w14:val="tx1"/>
                  </w14:solidFill>
                </w14:textFill>
              </w:rPr>
              <w:t>废气（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r>
              <w:rPr>
                <w:rFonts w:hint="eastAsia" w:cs="Times New Roman"/>
                <w:color w:val="000000" w:themeColor="text1"/>
                <w:sz w:val="21"/>
                <w:szCs w:val="21"/>
                <w:highlight w:val="none"/>
                <w:lang w:val="en-US" w:eastAsia="zh-CN"/>
                <w14:textFill>
                  <w14:solidFill>
                    <w14:schemeClr w14:val="tx1"/>
                  </w14:solidFill>
                </w14:textFill>
              </w:rPr>
              <w:t>）、脱模</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TVOC、臭气浓度</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噪声</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年工作时间</w:t>
            </w:r>
            <w:r>
              <w:rPr>
                <w:rFonts w:hint="eastAsia" w:cs="Times New Roman"/>
                <w:color w:val="000000" w:themeColor="text1"/>
                <w:sz w:val="21"/>
                <w:szCs w:val="21"/>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00h。</w:t>
            </w:r>
          </w:p>
          <w:p w14:paraId="5B79BBA4">
            <w:pPr>
              <w:pStyle w:val="76"/>
              <w:shd w:val="clear"/>
              <w:spacing w:line="360" w:lineRule="auto"/>
              <w:ind w:firstLine="420" w:firstLineChars="20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去水口：压铸后的工件经去</w:t>
            </w:r>
            <w:r>
              <w:rPr>
                <w:rFonts w:hint="eastAsia" w:cs="Times New Roman"/>
                <w:color w:val="000000" w:themeColor="text1"/>
                <w:sz w:val="21"/>
                <w:szCs w:val="21"/>
                <w:highlight w:val="none"/>
                <w:lang w:val="en-US" w:eastAsia="zh-CN"/>
                <w14:textFill>
                  <w14:solidFill>
                    <w14:schemeClr w14:val="tx1"/>
                  </w14:solidFill>
                </w14:textFill>
              </w:rPr>
              <w:t>人工</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清除水口。</w:t>
            </w:r>
            <w:r>
              <w:rPr>
                <w:rFonts w:hint="eastAsia" w:cs="Times New Roman"/>
                <w:color w:val="000000" w:themeColor="text1"/>
                <w:sz w:val="21"/>
                <w:szCs w:val="21"/>
                <w:highlight w:val="none"/>
                <w:lang w:val="en-US" w:eastAsia="zh-CN"/>
                <w14:textFill>
                  <w14:solidFill>
                    <w14:schemeClr w14:val="tx1"/>
                  </w14:solidFill>
                </w14:textFill>
              </w:rPr>
              <w:t>去水口产生的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边角料投入熔炉</w:t>
            </w:r>
            <w:r>
              <w:rPr>
                <w:rFonts w:hint="eastAsia" w:cs="Times New Roman"/>
                <w:color w:val="000000" w:themeColor="text1"/>
                <w:sz w:val="21"/>
                <w:szCs w:val="21"/>
                <w:highlight w:val="none"/>
                <w:lang w:val="en-US" w:eastAsia="zh-CN"/>
                <w14:textFill>
                  <w14:solidFill>
                    <w14:schemeClr w14:val="tx1"/>
                  </w14:solidFill>
                </w14:textFill>
              </w:rPr>
              <w:t>回</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用</w:t>
            </w:r>
            <w:r>
              <w:rPr>
                <w:rFonts w:hint="eastAsia" w:cs="Times New Roman"/>
                <w:color w:val="000000" w:themeColor="text1"/>
                <w:sz w:val="21"/>
                <w:szCs w:val="21"/>
                <w:highlight w:val="none"/>
                <w:lang w:val="en-US" w:eastAsia="zh-CN"/>
                <w14:textFill>
                  <w14:solidFill>
                    <w14:schemeClr w14:val="tx1"/>
                  </w14:solidFill>
                </w14:textFill>
              </w:rPr>
              <w:t>，不产生固废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。此工序产生</w:t>
            </w:r>
            <w:r>
              <w:rPr>
                <w:rFonts w:hint="eastAsia" w:cs="Times New Roman"/>
                <w:color w:val="000000" w:themeColor="text1"/>
                <w:sz w:val="21"/>
                <w:szCs w:val="21"/>
                <w:highlight w:val="none"/>
                <w:lang w:val="en-US" w:eastAsia="zh-CN"/>
                <w14:textFill>
                  <w14:solidFill>
                    <w14:schemeClr w14:val="tx1"/>
                  </w14:solidFill>
                </w14:textFill>
              </w:rPr>
              <w:t>少量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噪声。年工作时间</w:t>
            </w:r>
            <w:r>
              <w:rPr>
                <w:rFonts w:hint="eastAsia" w:cs="Times New Roman"/>
                <w:color w:val="000000" w:themeColor="text1"/>
                <w:sz w:val="21"/>
                <w:szCs w:val="21"/>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00h。</w:t>
            </w:r>
          </w:p>
          <w:p w14:paraId="03CEDE20">
            <w:pPr>
              <w:keepNext w:val="0"/>
              <w:keepLines w:val="0"/>
              <w:pageBreakBefore w:val="0"/>
              <w:widowControl/>
              <w:suppressLineNumbers w:val="0"/>
              <w:kinsoku/>
              <w:wordWrap w:val="0"/>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研磨：去水口后的工件进行研磨处理。为了适应不同的工件特性、加工要求和成本效率，工件进行分类研磨处理，约50%工件连同不锈钢砂放入滚砂机进行研磨处理；约10%工件连同</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水、</w:t>
            </w:r>
            <w:r>
              <w:rPr>
                <w:rFonts w:hint="eastAsia"/>
                <w:color w:val="000000" w:themeColor="text1"/>
                <w:spacing w:val="0"/>
                <w:sz w:val="21"/>
                <w:szCs w:val="21"/>
                <w:highlight w:val="none"/>
                <w:lang w:val="en-US" w:eastAsia="zh-CN"/>
                <w14:textFill>
                  <w14:solidFill>
                    <w14:schemeClr w14:val="tx1"/>
                  </w14:solidFill>
                </w14:textFill>
              </w:rPr>
              <w:t>陶瓷、洗洁精放</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入</w:t>
            </w:r>
            <w:r>
              <w:rPr>
                <w:rFonts w:hint="eastAsia" w:eastAsia="宋体"/>
                <w:color w:val="000000" w:themeColor="text1"/>
                <w:spacing w:val="0"/>
                <w:sz w:val="21"/>
                <w:szCs w:val="21"/>
                <w:highlight w:val="none"/>
                <w:lang w:val="en-US" w:eastAsia="zh-CN"/>
                <w14:textFill>
                  <w14:solidFill>
                    <w14:schemeClr w14:val="tx1"/>
                  </w14:solidFill>
                </w14:textFill>
              </w:rPr>
              <w:t>震动盘</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进行振动</w:t>
            </w:r>
            <w:r>
              <w:rPr>
                <w:rFonts w:hint="eastAsia"/>
                <w:color w:val="000000" w:themeColor="text1"/>
                <w:spacing w:val="0"/>
                <w:sz w:val="21"/>
                <w:szCs w:val="21"/>
                <w:highlight w:val="none"/>
                <w:lang w:val="en-US" w:eastAsia="zh-CN"/>
                <w14:textFill>
                  <w14:solidFill>
                    <w14:schemeClr w14:val="tx1"/>
                  </w14:solidFill>
                </w14:textFill>
              </w:rPr>
              <w:t>研磨；约10%的工件连同</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水、不锈钢针、</w:t>
            </w:r>
            <w:r>
              <w:rPr>
                <w:rFonts w:hint="eastAsia"/>
                <w:color w:val="000000" w:themeColor="text1"/>
                <w:spacing w:val="0"/>
                <w:sz w:val="21"/>
                <w:szCs w:val="21"/>
                <w:highlight w:val="none"/>
                <w:lang w:val="en-US" w:eastAsia="zh-CN"/>
                <w14:textFill>
                  <w14:solidFill>
                    <w14:schemeClr w14:val="tx1"/>
                  </w14:solidFill>
                </w14:textFill>
              </w:rPr>
              <w:t>洗洁精</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放入磁力</w:t>
            </w:r>
            <w:r>
              <w:rPr>
                <w:rFonts w:hint="eastAsia" w:eastAsia="宋体"/>
                <w:color w:val="000000" w:themeColor="text1"/>
                <w:spacing w:val="0"/>
                <w:sz w:val="21"/>
                <w:szCs w:val="21"/>
                <w:highlight w:val="none"/>
                <w:lang w:val="en-US" w:eastAsia="zh-CN"/>
                <w14:textFill>
                  <w14:solidFill>
                    <w14:schemeClr w14:val="tx1"/>
                  </w14:solidFill>
                </w14:textFill>
              </w:rPr>
              <w:t>震</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光机中进行</w:t>
            </w:r>
            <w:r>
              <w:rPr>
                <w:rFonts w:hint="eastAsia"/>
                <w:color w:val="000000" w:themeColor="text1"/>
                <w:spacing w:val="0"/>
                <w:sz w:val="21"/>
                <w:szCs w:val="21"/>
                <w:highlight w:val="none"/>
                <w:lang w:val="en-US" w:eastAsia="zh-CN"/>
                <w14:textFill>
                  <w14:solidFill>
                    <w14:schemeClr w14:val="tx1"/>
                  </w14:solidFill>
                </w14:textFill>
              </w:rPr>
              <w:t>研磨；30%工件无需经过研磨处理。洗洁精主要用于去除压铸件表面残留的污渍，并起到清洗、润滑及辅助研磨的作用，震动盘和</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磁力</w:t>
            </w:r>
            <w:r>
              <w:rPr>
                <w:rFonts w:hint="eastAsia" w:eastAsia="宋体"/>
                <w:color w:val="000000" w:themeColor="text1"/>
                <w:spacing w:val="0"/>
                <w:sz w:val="21"/>
                <w:szCs w:val="21"/>
                <w:highlight w:val="none"/>
                <w:lang w:val="en-US" w:eastAsia="zh-CN"/>
                <w14:textFill>
                  <w14:solidFill>
                    <w14:schemeClr w14:val="tx1"/>
                  </w14:solidFill>
                </w14:textFill>
              </w:rPr>
              <w:t>震</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光机</w:t>
            </w:r>
            <w:r>
              <w:rPr>
                <w:rFonts w:hint="eastAsia" w:eastAsia="宋体"/>
                <w:color w:val="000000" w:themeColor="text1"/>
                <w:spacing w:val="0"/>
                <w:sz w:val="21"/>
                <w:szCs w:val="21"/>
                <w:highlight w:val="none"/>
                <w:lang w:val="en-US" w:eastAsia="zh-CN"/>
                <w14:textFill>
                  <w14:solidFill>
                    <w14:schemeClr w14:val="tx1"/>
                  </w14:solidFill>
                </w14:textFill>
              </w:rPr>
              <w:t>研磨</w:t>
            </w:r>
            <w:r>
              <w:rPr>
                <w:rFonts w:hint="eastAsia"/>
                <w:color w:val="000000" w:themeColor="text1"/>
                <w:spacing w:val="0"/>
                <w:sz w:val="21"/>
                <w:szCs w:val="21"/>
                <w:highlight w:val="none"/>
                <w:lang w:val="en-US" w:eastAsia="zh-CN"/>
                <w14:textFill>
                  <w14:solidFill>
                    <w14:schemeClr w14:val="tx1"/>
                  </w14:solidFill>
                </w14:textFill>
              </w:rPr>
              <w:t>处理</w:t>
            </w:r>
            <w:r>
              <w:rPr>
                <w:rFonts w:hint="eastAsia" w:eastAsia="宋体"/>
                <w:color w:val="000000" w:themeColor="text1"/>
                <w:spacing w:val="0"/>
                <w:sz w:val="21"/>
                <w:szCs w:val="21"/>
                <w:highlight w:val="none"/>
                <w:lang w:val="en-US" w:eastAsia="zh-CN"/>
                <w14:textFill>
                  <w14:solidFill>
                    <w14:schemeClr w14:val="tx1"/>
                  </w14:solidFill>
                </w14:textFill>
              </w:rPr>
              <w:t>为加水湿式作业，不产生颗粒物</w:t>
            </w:r>
            <w:r>
              <w:rPr>
                <w:rFonts w:hint="eastAsia"/>
                <w:color w:val="000000" w:themeColor="text1"/>
                <w:spacing w:val="0"/>
                <w:sz w:val="21"/>
                <w:szCs w:val="21"/>
                <w:highlight w:val="none"/>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由于振光会与不锈钢物料相互摩擦，摩擦会产生研磨渣，</w:t>
            </w:r>
            <w:r>
              <w:rPr>
                <w:rFonts w:hint="eastAsia"/>
                <w:color w:val="000000" w:themeColor="text1"/>
                <w:spacing w:val="0"/>
                <w:sz w:val="21"/>
                <w:szCs w:val="21"/>
                <w:highlight w:val="none"/>
                <w:lang w:val="en-US" w:eastAsia="zh-CN"/>
                <w14:textFill>
                  <w14:solidFill>
                    <w14:schemeClr w14:val="tx1"/>
                  </w14:solidFill>
                </w14:textFill>
              </w:rPr>
              <w:t>产生固废和研磨废水；滚砂机</w:t>
            </w:r>
            <w:r>
              <w:rPr>
                <w:rFonts w:hint="eastAsia" w:ascii="宋体" w:hAnsi="宋体" w:cs="宋体"/>
                <w:color w:val="000000" w:themeColor="text1"/>
                <w:kern w:val="0"/>
                <w:sz w:val="21"/>
                <w:szCs w:val="21"/>
                <w:lang w:val="en-US" w:eastAsia="zh-CN" w:bidi="ar"/>
                <w14:textFill>
                  <w14:solidFill>
                    <w14:schemeClr w14:val="tx1"/>
                  </w14:solidFill>
                </w14:textFill>
              </w:rPr>
              <w:t>研磨</w:t>
            </w:r>
            <w:r>
              <w:rPr>
                <w:rFonts w:hint="eastAsia" w:ascii="宋体" w:hAnsi="宋体" w:eastAsia="宋体" w:cs="宋体"/>
                <w:color w:val="000000" w:themeColor="text1"/>
                <w:kern w:val="0"/>
                <w:sz w:val="21"/>
                <w:szCs w:val="21"/>
                <w:lang w:val="en-US" w:eastAsia="zh-CN" w:bidi="ar"/>
                <w14:textFill>
                  <w14:solidFill>
                    <w14:schemeClr w14:val="tx1"/>
                  </w14:solidFill>
                </w14:textFill>
              </w:rPr>
              <w:t>过程属于干式作业，产生少量粉尘和金属</w:t>
            </w:r>
            <w:r>
              <w:rPr>
                <w:rFonts w:hint="eastAsia" w:ascii="宋体" w:hAnsi="宋体" w:cs="宋体"/>
                <w:color w:val="000000" w:themeColor="text1"/>
                <w:kern w:val="0"/>
                <w:sz w:val="21"/>
                <w:szCs w:val="21"/>
                <w:lang w:val="en-US" w:eastAsia="zh-CN" w:bidi="ar"/>
                <w14:textFill>
                  <w14:solidFill>
                    <w14:schemeClr w14:val="tx1"/>
                  </w14:solidFill>
                </w14:textFill>
              </w:rPr>
              <w:t>碎屑</w:t>
            </w:r>
            <w:r>
              <w:rPr>
                <w:rFonts w:hint="eastAsia" w:eastAsia="宋体"/>
                <w:color w:val="000000" w:themeColor="text1"/>
                <w:spacing w:val="0"/>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此过程</w:t>
            </w:r>
            <w:r>
              <w:rPr>
                <w:rFonts w:hint="eastAsia"/>
                <w:color w:val="000000" w:themeColor="text1"/>
                <w:spacing w:val="0"/>
                <w:sz w:val="21"/>
                <w:szCs w:val="21"/>
                <w:highlight w:val="none"/>
                <w:lang w:val="en-US" w:eastAsia="zh-CN"/>
                <w14:textFill>
                  <w14:solidFill>
                    <w14:schemeClr w14:val="tx1"/>
                  </w14:solidFill>
                </w14:textFill>
              </w:rPr>
              <w:t>研磨废气（颗粒物）和</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固废</w:t>
            </w:r>
            <w:r>
              <w:rPr>
                <w:rFonts w:hint="eastAsia" w:ascii="Times New Roman" w:hAnsi="Times New Roman"/>
                <w:color w:val="000000" w:themeColor="text1"/>
                <w:kern w:val="0"/>
                <w:sz w:val="21"/>
                <w:szCs w:val="21"/>
                <w:highlight w:val="none"/>
                <w:lang w:val="en-US" w:eastAsia="zh-CN"/>
                <w14:textFill>
                  <w14:solidFill>
                    <w14:schemeClr w14:val="tx1"/>
                  </w14:solidFill>
                </w14:textFill>
              </w:rPr>
              <w:t>、研磨废水</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、噪声</w:t>
            </w:r>
            <w:r>
              <w:rPr>
                <w:rFonts w:hint="eastAsia" w:ascii="Times New Roman" w:hAnsi="Times New Roman"/>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年工作时间为</w:t>
            </w:r>
            <w:r>
              <w:rPr>
                <w:rFonts w:hint="eastAsia"/>
                <w:color w:val="000000" w:themeColor="text1"/>
                <w:spacing w:val="0"/>
                <w:sz w:val="21"/>
                <w:szCs w:val="21"/>
                <w:highlight w:val="none"/>
                <w:lang w:val="en-US" w:eastAsia="zh-CN"/>
                <w14:textFill>
                  <w14:solidFill>
                    <w14:schemeClr w14:val="tx1"/>
                  </w14:solidFill>
                </w14:textFill>
              </w:rPr>
              <w:t>24</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00h</w:t>
            </w:r>
            <w:r>
              <w:rPr>
                <w:rFonts w:ascii="Times New Roman" w:hAnsi="Times New Roman" w:eastAsia="宋体"/>
                <w:color w:val="000000" w:themeColor="text1"/>
                <w:spacing w:val="0"/>
                <w:sz w:val="21"/>
                <w:szCs w:val="21"/>
                <w:highlight w:val="none"/>
                <w14:textFill>
                  <w14:solidFill>
                    <w14:schemeClr w14:val="tx1"/>
                  </w14:solidFill>
                </w14:textFill>
              </w:rPr>
              <w:t>。</w:t>
            </w:r>
          </w:p>
          <w:p w14:paraId="76AF778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ascii="Times New Roman" w:hAnsi="Times New Roman" w:eastAsia="宋体"/>
                <w:color w:val="000000" w:themeColor="text1"/>
                <w:spacing w:val="0"/>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钻孔攻牙：</w:t>
            </w:r>
            <w:r>
              <w:rPr>
                <w:rFonts w:ascii="Times New Roman" w:hAnsi="Times New Roman" w:eastAsia="宋体"/>
                <w:color w:val="000000" w:themeColor="text1"/>
                <w:spacing w:val="0"/>
                <w:sz w:val="21"/>
                <w:szCs w:val="21"/>
                <w:highlight w:val="none"/>
                <w14:textFill>
                  <w14:solidFill>
                    <w14:schemeClr w14:val="tx1"/>
                  </w14:solidFill>
                </w14:textFill>
              </w:rPr>
              <w:t>利用</w:t>
            </w:r>
            <w:r>
              <w:rPr>
                <w:rFonts w:hint="eastAsia" w:ascii="Times New Roman" w:hAnsi="Times New Roman" w:eastAsia="宋体"/>
                <w:color w:val="000000" w:themeColor="text1"/>
                <w:spacing w:val="0"/>
                <w:sz w:val="21"/>
                <w:szCs w:val="21"/>
                <w:highlight w:val="none"/>
                <w14:textFill>
                  <w14:solidFill>
                    <w14:schemeClr w14:val="tx1"/>
                  </w14:solidFill>
                </w14:textFill>
              </w:rPr>
              <w:t>钻孔攻牙机</w:t>
            </w:r>
            <w:r>
              <w:rPr>
                <w:rFonts w:ascii="Times New Roman" w:hAnsi="Times New Roman" w:eastAsia="宋体"/>
                <w:color w:val="000000" w:themeColor="text1"/>
                <w:spacing w:val="0"/>
                <w:sz w:val="21"/>
                <w:szCs w:val="21"/>
                <w:highlight w:val="none"/>
                <w14:textFill>
                  <w14:solidFill>
                    <w14:schemeClr w14:val="tx1"/>
                  </w14:solidFill>
                </w14:textFill>
              </w:rPr>
              <w:t>对</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工件</w:t>
            </w:r>
            <w:r>
              <w:rPr>
                <w:rFonts w:ascii="Times New Roman" w:hAnsi="Times New Roman" w:eastAsia="宋体"/>
                <w:color w:val="000000" w:themeColor="text1"/>
                <w:spacing w:val="0"/>
                <w:sz w:val="21"/>
                <w:szCs w:val="21"/>
                <w:highlight w:val="none"/>
                <w14:textFill>
                  <w14:solidFill>
                    <w14:schemeClr w14:val="tx1"/>
                  </w14:solidFill>
                </w14:textFill>
              </w:rPr>
              <w:t>进一步加工处理</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由于金属颗粒直径较大，</w:t>
            </w:r>
            <w:r>
              <w:rPr>
                <w:rFonts w:hint="eastAsia" w:ascii="Times New Roman" w:hAnsi="Times New Roman" w:eastAsia="宋体"/>
                <w:color w:val="000000" w:themeColor="text1"/>
                <w:spacing w:val="0"/>
                <w:sz w:val="21"/>
                <w:szCs w:val="21"/>
                <w:highlight w:val="none"/>
                <w14:textFill>
                  <w14:solidFill>
                    <w14:schemeClr w14:val="tx1"/>
                  </w14:solidFill>
                </w14:textFill>
              </w:rPr>
              <w:t>且设备会使用</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切削液</w:t>
            </w:r>
            <w:r>
              <w:rPr>
                <w:rFonts w:hint="eastAsia" w:ascii="Times New Roman" w:hAnsi="Times New Roman" w:eastAsia="宋体"/>
                <w:color w:val="000000" w:themeColor="text1"/>
                <w:spacing w:val="0"/>
                <w:sz w:val="21"/>
                <w:szCs w:val="21"/>
                <w:highlight w:val="none"/>
                <w14:textFill>
                  <w14:solidFill>
                    <w14:schemeClr w14:val="tx1"/>
                  </w14:solidFill>
                </w14:textFill>
              </w:rPr>
              <w:t>作为辅料进行加工</w:t>
            </w:r>
            <w:r>
              <w:rPr>
                <w:rFonts w:ascii="Times New Roman" w:hAnsi="Times New Roman" w:eastAsia="宋体"/>
                <w:color w:val="000000" w:themeColor="text1"/>
                <w:spacing w:val="0"/>
                <w:sz w:val="21"/>
                <w:szCs w:val="21"/>
                <w:highlight w:val="none"/>
                <w14:textFill>
                  <w14:solidFill>
                    <w14:schemeClr w14:val="tx1"/>
                  </w14:solidFill>
                </w14:textFill>
              </w:rPr>
              <w:t>，不会形成粉尘</w:t>
            </w:r>
            <w:r>
              <w:rPr>
                <w:rFonts w:hint="eastAsia" w:eastAsia="宋体"/>
                <w:color w:val="000000" w:themeColor="text1"/>
                <w:spacing w:val="0"/>
                <w:sz w:val="21"/>
                <w:szCs w:val="21"/>
                <w:highlight w:val="none"/>
                <w:lang w:eastAsia="zh-CN"/>
                <w14:textFill>
                  <w14:solidFill>
                    <w14:schemeClr w14:val="tx1"/>
                  </w14:solidFill>
                </w14:textFill>
              </w:rPr>
              <w:t>。</w:t>
            </w:r>
            <w:r>
              <w:rPr>
                <w:rFonts w:ascii="Times New Roman" w:hAnsi="Times New Roman"/>
                <w:color w:val="000000" w:themeColor="text1"/>
                <w:spacing w:val="0"/>
                <w:sz w:val="21"/>
                <w:szCs w:val="21"/>
                <w:highlight w:val="none"/>
                <w14:textFill>
                  <w14:solidFill>
                    <w14:schemeClr w14:val="tx1"/>
                  </w14:solidFill>
                </w14:textFill>
              </w:rPr>
              <w:t>此工序会</w:t>
            </w:r>
            <w:r>
              <w:rPr>
                <w:rFonts w:hint="eastAsia" w:ascii="Times New Roman" w:hAnsi="Times New Roman"/>
                <w:color w:val="000000" w:themeColor="text1"/>
                <w:spacing w:val="0"/>
                <w:sz w:val="21"/>
                <w:szCs w:val="21"/>
                <w:highlight w:val="none"/>
                <w:lang w:val="en-US" w:eastAsia="zh-CN"/>
                <w14:textFill>
                  <w14:solidFill>
                    <w14:schemeClr w14:val="tx1"/>
                  </w14:solidFill>
                </w14:textFill>
              </w:rPr>
              <w:t>产生</w:t>
            </w:r>
            <w:r>
              <w:rPr>
                <w:rFonts w:hint="eastAsia"/>
                <w:color w:val="000000" w:themeColor="text1"/>
                <w:spacing w:val="0"/>
                <w:sz w:val="21"/>
                <w:szCs w:val="21"/>
                <w:highlight w:val="none"/>
                <w:lang w:val="en-US" w:eastAsia="zh-CN"/>
                <w14:textFill>
                  <w14:solidFill>
                    <w14:schemeClr w14:val="tx1"/>
                  </w14:solidFill>
                </w14:textFill>
              </w:rPr>
              <w:t>钻孔攻牙</w:t>
            </w:r>
            <w:r>
              <w:rPr>
                <w:rFonts w:hint="eastAsia" w:ascii="Times New Roman" w:hAnsi="Times New Roman"/>
                <w:color w:val="000000" w:themeColor="text1"/>
                <w:spacing w:val="0"/>
                <w:sz w:val="21"/>
                <w:szCs w:val="21"/>
                <w:highlight w:val="none"/>
                <w:lang w:val="en-US" w:eastAsia="zh-CN"/>
                <w14:textFill>
                  <w14:solidFill>
                    <w14:schemeClr w14:val="tx1"/>
                  </w14:solidFill>
                </w14:textFill>
              </w:rPr>
              <w:t>废气（非甲烷总烃、臭气浓度）、固废</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、噪声</w:t>
            </w:r>
            <w:r>
              <w:rPr>
                <w:rFonts w:ascii="Times New Roman" w:hAnsi="Times New Roman" w:eastAsia="宋体"/>
                <w:color w:val="000000" w:themeColor="text1"/>
                <w:spacing w:val="0"/>
                <w:sz w:val="21"/>
                <w:szCs w:val="21"/>
                <w:highlight w:val="none"/>
                <w14:textFill>
                  <w14:solidFill>
                    <w14:schemeClr w14:val="tx1"/>
                  </w14:solidFill>
                </w14:textFill>
              </w:rPr>
              <w:t>。</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年工作时间为</w:t>
            </w:r>
            <w:r>
              <w:rPr>
                <w:rFonts w:hint="eastAsia"/>
                <w:color w:val="000000" w:themeColor="text1"/>
                <w:spacing w:val="0"/>
                <w:sz w:val="21"/>
                <w:szCs w:val="21"/>
                <w:highlight w:val="none"/>
                <w:lang w:val="en-US" w:eastAsia="zh-CN"/>
                <w14:textFill>
                  <w14:solidFill>
                    <w14:schemeClr w14:val="tx1"/>
                  </w14:solidFill>
                </w14:textFill>
              </w:rPr>
              <w:t>24</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00h</w:t>
            </w:r>
            <w:r>
              <w:rPr>
                <w:rFonts w:ascii="Times New Roman" w:hAnsi="Times New Roman" w:eastAsia="宋体"/>
                <w:color w:val="000000" w:themeColor="text1"/>
                <w:spacing w:val="0"/>
                <w:sz w:val="21"/>
                <w:szCs w:val="21"/>
                <w:highlight w:val="none"/>
                <w14:textFill>
                  <w14:solidFill>
                    <w14:schemeClr w14:val="tx1"/>
                  </w14:solidFill>
                </w14:textFill>
              </w:rPr>
              <w:t>。</w:t>
            </w:r>
          </w:p>
          <w:p w14:paraId="7ACBA82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ascii="Times New Roman" w:hAnsi="Times New Roman" w:eastAsia="宋体"/>
                <w:color w:val="000000" w:themeColor="text1"/>
                <w:spacing w:val="0"/>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抛光：</w:t>
            </w:r>
            <w:r>
              <w:rPr>
                <w:rFonts w:hint="eastAsia"/>
                <w:color w:val="000000" w:themeColor="text1"/>
                <w:spacing w:val="0"/>
                <w:sz w:val="21"/>
                <w:szCs w:val="21"/>
                <w:highlight w:val="none"/>
                <w:lang w:val="en-US" w:eastAsia="zh-CN"/>
                <w14:textFill>
                  <w14:solidFill>
                    <w14:schemeClr w14:val="tx1"/>
                  </w14:solidFill>
                </w14:textFill>
              </w:rPr>
              <w:t>抛光机</w:t>
            </w:r>
            <w:r>
              <w:rPr>
                <w:rFonts w:hint="eastAsia" w:ascii="Times New Roman" w:hAnsi="Times New Roman"/>
                <w:color w:val="000000" w:themeColor="text1"/>
                <w:spacing w:val="0"/>
                <w:sz w:val="21"/>
                <w:szCs w:val="21"/>
                <w:highlight w:val="none"/>
                <w:lang w:val="en-US" w:eastAsia="zh-CN"/>
                <w14:textFill>
                  <w14:solidFill>
                    <w14:schemeClr w14:val="tx1"/>
                  </w14:solidFill>
                </w14:textFill>
              </w:rPr>
              <w:t>底部有水帘，工作时抛光轮向下快速转动，使工件表面更平整</w:t>
            </w:r>
            <w:r>
              <w:rPr>
                <w:rFonts w:hint="eastAsia"/>
                <w:color w:val="000000" w:themeColor="text1"/>
                <w:spacing w:val="0"/>
                <w:sz w:val="21"/>
                <w:szCs w:val="21"/>
                <w:highlight w:val="none"/>
                <w:lang w:val="en-US" w:eastAsia="zh-CN"/>
                <w14:textFill>
                  <w14:solidFill>
                    <w14:schemeClr w14:val="tx1"/>
                  </w14:solidFill>
                </w14:textFill>
              </w:rPr>
              <w:t>。因而</w:t>
            </w:r>
            <w:r>
              <w:rPr>
                <w:rFonts w:hint="eastAsia" w:ascii="Times New Roman" w:hAnsi="Times New Roman"/>
                <w:color w:val="000000" w:themeColor="text1"/>
                <w:spacing w:val="0"/>
                <w:sz w:val="21"/>
                <w:szCs w:val="21"/>
                <w:highlight w:val="none"/>
                <w:lang w:val="en-US" w:eastAsia="zh-CN"/>
                <w14:textFill>
                  <w14:solidFill>
                    <w14:schemeClr w14:val="tx1"/>
                  </w14:solidFill>
                </w14:textFill>
              </w:rPr>
              <w:t>工件与抛光轮剧烈摩擦产生的大多数抛光废气向下进入水帘，</w:t>
            </w:r>
            <w:r>
              <w:rPr>
                <w:rFonts w:hint="eastAsia" w:ascii="宋体" w:hAnsi="宋体" w:eastAsia="宋体" w:cs="宋体"/>
                <w:color w:val="000000" w:themeColor="text1"/>
                <w:kern w:val="0"/>
                <w:sz w:val="21"/>
                <w:szCs w:val="21"/>
                <w:lang w:val="en-US" w:eastAsia="zh-CN" w:bidi="ar"/>
                <w14:textFill>
                  <w14:solidFill>
                    <w14:schemeClr w14:val="tx1"/>
                  </w14:solidFill>
                </w14:textFill>
              </w:rPr>
              <w:t>小部分溢出废气由集气罩收集</w:t>
            </w:r>
            <w:r>
              <w:rPr>
                <w:rFonts w:hint="eastAsia"/>
                <w:color w:val="000000" w:themeColor="text1"/>
                <w:spacing w:val="0"/>
                <w:sz w:val="21"/>
                <w:szCs w:val="21"/>
                <w:highlight w:val="none"/>
                <w:lang w:val="en-US" w:eastAsia="zh-CN"/>
                <w14:textFill>
                  <w14:solidFill>
                    <w14:schemeClr w14:val="tx1"/>
                  </w14:solidFill>
                </w14:textFill>
              </w:rPr>
              <w:t>。</w:t>
            </w:r>
            <w:r>
              <w:rPr>
                <w:rFonts w:ascii="Times New Roman" w:hAnsi="Times New Roman"/>
                <w:color w:val="000000" w:themeColor="text1"/>
                <w:spacing w:val="0"/>
                <w:sz w:val="21"/>
                <w:szCs w:val="21"/>
                <w:highlight w:val="none"/>
                <w14:textFill>
                  <w14:solidFill>
                    <w14:schemeClr w14:val="tx1"/>
                  </w14:solidFill>
                </w14:textFill>
              </w:rPr>
              <w:t>此工序</w:t>
            </w:r>
            <w:r>
              <w:rPr>
                <w:rFonts w:hint="eastAsia" w:ascii="Times New Roman" w:hAnsi="Times New Roman"/>
                <w:color w:val="000000" w:themeColor="text1"/>
                <w:spacing w:val="0"/>
                <w:sz w:val="21"/>
                <w:szCs w:val="21"/>
                <w:highlight w:val="none"/>
                <w:lang w:val="en-US" w:eastAsia="zh-CN"/>
                <w14:textFill>
                  <w14:solidFill>
                    <w14:schemeClr w14:val="tx1"/>
                  </w14:solidFill>
                </w14:textFill>
              </w:rPr>
              <w:t>产生抛光废气</w:t>
            </w:r>
            <w:r>
              <w:rPr>
                <w:rFonts w:hint="eastAsia" w:ascii="Times New Roman" w:hAnsi="Times New Roman"/>
                <w:color w:val="000000" w:themeColor="text1"/>
                <w:spacing w:val="0"/>
                <w:sz w:val="21"/>
                <w:szCs w:val="21"/>
                <w:highlight w:val="none"/>
                <w:lang w:eastAsia="zh-CN"/>
                <w14:textFill>
                  <w14:solidFill>
                    <w14:schemeClr w14:val="tx1"/>
                  </w14:solidFill>
                </w14:textFill>
              </w:rPr>
              <w:t>（</w:t>
            </w:r>
            <w:r>
              <w:rPr>
                <w:rFonts w:hint="eastAsia" w:ascii="Times New Roman" w:hAnsi="Times New Roman"/>
                <w:color w:val="000000" w:themeColor="text1"/>
                <w:spacing w:val="0"/>
                <w:sz w:val="21"/>
                <w:szCs w:val="21"/>
                <w:highlight w:val="none"/>
                <w:lang w:val="en-US" w:eastAsia="zh-CN"/>
                <w14:textFill>
                  <w14:solidFill>
                    <w14:schemeClr w14:val="tx1"/>
                  </w14:solidFill>
                </w14:textFill>
              </w:rPr>
              <w:t>颗粒物</w:t>
            </w:r>
            <w:r>
              <w:rPr>
                <w:rFonts w:hint="eastAsia" w:ascii="Times New Roman" w:hAnsi="Times New Roman"/>
                <w:color w:val="000000" w:themeColor="text1"/>
                <w:spacing w:val="0"/>
                <w:sz w:val="21"/>
                <w:szCs w:val="21"/>
                <w:highlight w:val="none"/>
                <w:lang w:eastAsia="zh-CN"/>
                <w14:textFill>
                  <w14:solidFill>
                    <w14:schemeClr w14:val="tx1"/>
                  </w14:solidFill>
                </w14:textFill>
              </w:rPr>
              <w:t>）、</w:t>
            </w:r>
            <w:r>
              <w:rPr>
                <w:rFonts w:hint="eastAsia" w:ascii="Times New Roman" w:hAnsi="Times New Roman"/>
                <w:color w:val="000000" w:themeColor="text1"/>
                <w:spacing w:val="0"/>
                <w:sz w:val="21"/>
                <w:szCs w:val="21"/>
                <w:highlight w:val="none"/>
                <w:lang w:val="en-US" w:eastAsia="zh-CN"/>
                <w14:textFill>
                  <w14:solidFill>
                    <w14:schemeClr w14:val="tx1"/>
                  </w14:solidFill>
                </w14:textFill>
              </w:rPr>
              <w:t>抛光废水、固废</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、噪声</w:t>
            </w:r>
            <w:r>
              <w:rPr>
                <w:rFonts w:hint="eastAsia" w:eastAsia="宋体"/>
                <w:color w:val="000000" w:themeColor="text1"/>
                <w:spacing w:val="0"/>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年工作时间为2400h</w:t>
            </w:r>
            <w:r>
              <w:rPr>
                <w:rFonts w:ascii="Times New Roman" w:hAnsi="Times New Roman" w:eastAsia="宋体"/>
                <w:color w:val="000000" w:themeColor="text1"/>
                <w:spacing w:val="0"/>
                <w:sz w:val="21"/>
                <w:szCs w:val="21"/>
                <w:highlight w:val="none"/>
                <w14:textFill>
                  <w14:solidFill>
                    <w14:schemeClr w14:val="tx1"/>
                  </w14:solidFill>
                </w14:textFill>
              </w:rPr>
              <w:t>。</w:t>
            </w:r>
          </w:p>
          <w:p w14:paraId="5A250BD1">
            <w:pPr>
              <w:keepNext w:val="0"/>
              <w:keepLines w:val="0"/>
              <w:pageBreakBefore w:val="0"/>
              <w:widowControl/>
              <w:numPr>
                <w:ilvl w:val="0"/>
                <w:numId w:val="8"/>
              </w:numPr>
              <w:suppressLineNumbers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b/>
                <w:bCs/>
                <w:color w:val="000000" w:themeColor="text1"/>
                <w:spacing w:val="0"/>
                <w:sz w:val="21"/>
                <w:szCs w:val="21"/>
                <w:highlight w:val="none"/>
                <w:lang w:val="en-US" w:eastAsia="zh-CN"/>
                <w14:textFill>
                  <w14:solidFill>
                    <w14:schemeClr w14:val="tx1"/>
                  </w14:solidFill>
                </w14:textFill>
              </w:rPr>
            </w:pPr>
            <w:r>
              <w:rPr>
                <w:rFonts w:hint="eastAsia"/>
                <w:b/>
                <w:bCs/>
                <w:color w:val="000000" w:themeColor="text1"/>
                <w:spacing w:val="0"/>
                <w:sz w:val="21"/>
                <w:szCs w:val="21"/>
                <w:highlight w:val="none"/>
                <w:lang w:val="en-US" w:eastAsia="zh-CN"/>
                <w14:textFill>
                  <w14:solidFill>
                    <w14:schemeClr w14:val="tx1"/>
                  </w14:solidFill>
                </w14:textFill>
              </w:rPr>
              <w:t>模具维修与制作工艺流程图：</w:t>
            </w:r>
          </w:p>
          <w:p w14:paraId="5BCF58E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200"/>
              <w:jc w:val="left"/>
              <w:textAlignment w:val="auto"/>
              <w:rPr>
                <w:rFonts w:hint="default"/>
                <w:b/>
                <w:bCs/>
                <w:color w:val="000000" w:themeColor="text1"/>
                <w:spacing w:val="0"/>
                <w:sz w:val="21"/>
                <w:szCs w:val="21"/>
                <w:highlight w:val="none"/>
                <w:lang w:val="en-US" w:eastAsia="zh-CN"/>
                <w14:textFill>
                  <w14:solidFill>
                    <w14:schemeClr w14:val="tx1"/>
                  </w14:solidFill>
                </w14:textFill>
              </w:rPr>
            </w:pPr>
            <w:r>
              <w:rPr>
                <w:rFonts w:hint="default"/>
                <w:b/>
                <w:bCs/>
                <w:color w:val="000000" w:themeColor="text1"/>
                <w:spacing w:val="0"/>
                <w:sz w:val="21"/>
                <w:szCs w:val="21"/>
                <w:highlight w:val="none"/>
                <w:lang w:val="en-US" w:eastAsia="zh-CN"/>
                <w14:textFill>
                  <w14:solidFill>
                    <w14:schemeClr w14:val="tx1"/>
                  </w14:solidFill>
                </w14:textFill>
              </w:rPr>
              <w:object>
                <v:shape id="_x0000_i1027" o:spt="75" type="#_x0000_t75" style="height:102pt;width:321.75pt;" o:ole="t" filled="f" o:preferrelative="t" stroked="f" coordsize="21600,21600">
                  <v:path/>
                  <v:fill on="f" focussize="0,0"/>
                  <v:stroke on="f"/>
                  <v:imagedata r:id="rId19" o:title=""/>
                  <o:lock v:ext="edit" aspectratio="f"/>
                  <w10:wrap type="none"/>
                  <w10:anchorlock/>
                </v:shape>
                <o:OLEObject Type="Embed" ProgID="Visio.Drawing.15" ShapeID="_x0000_i1027" DrawAspect="Content" ObjectID="_1468075727" r:id="rId18">
                  <o:LockedField>false</o:LockedField>
                </o:OLEObject>
              </w:object>
            </w:r>
          </w:p>
          <w:p w14:paraId="65464881">
            <w:pPr>
              <w:pStyle w:val="48"/>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lang w:val="en-US" w:eastAsia="zh-CN"/>
                <w14:textFill>
                  <w14:solidFill>
                    <w14:schemeClr w14:val="tx1"/>
                  </w14:solidFill>
                </w14:textFill>
              </w:rPr>
              <w:t>图3模具工艺流程图</w:t>
            </w:r>
          </w:p>
          <w:p w14:paraId="741BFC0F">
            <w:pPr>
              <w:pStyle w:val="48"/>
              <w:keepNext w:val="0"/>
              <w:keepLines w:val="0"/>
              <w:pageBreakBefore w:val="0"/>
              <w:widowControl w:val="0"/>
              <w:kinsoku/>
              <w:wordWrap w:val="0"/>
              <w:overflowPunct w:val="0"/>
              <w:topLinePunct/>
              <w:autoSpaceDE w:val="0"/>
              <w:autoSpaceDN w:val="0"/>
              <w:bidi w:val="0"/>
              <w:adjustRightInd w:val="0"/>
              <w:snapToGrid/>
              <w:spacing w:line="360" w:lineRule="auto"/>
              <w:ind w:firstLine="420" w:firstLineChars="200"/>
              <w:jc w:val="left"/>
              <w:textAlignment w:val="auto"/>
              <w:rPr>
                <w:rFonts w:hint="default"/>
                <w:color w:val="000000" w:themeColor="text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机加工：</w:t>
            </w:r>
            <w:r>
              <w:rPr>
                <w:rFonts w:hint="default" w:ascii="Times New Roman" w:hAnsi="Times New Roman" w:cs="Times New Roman"/>
                <w:color w:val="000000" w:themeColor="text1"/>
                <w:sz w:val="21"/>
                <w:szCs w:val="21"/>
                <w:lang w:val="en-US" w:eastAsia="zh-CN"/>
                <w14:textFill>
                  <w14:solidFill>
                    <w14:schemeClr w14:val="tx1"/>
                  </w14:solidFill>
                </w14:textFill>
              </w:rPr>
              <w:t>外购的模具胚或损坏的模具在厂内利用铣床、火花机、车床、</w:t>
            </w:r>
            <w:r>
              <w:rPr>
                <w:rFonts w:hint="eastAsia" w:ascii="Times New Roman" w:cs="Times New Roman"/>
                <w:color w:val="000000" w:themeColor="text1"/>
                <w:sz w:val="21"/>
                <w:szCs w:val="21"/>
                <w:lang w:val="en-US" w:eastAsia="zh-CN"/>
                <w14:textFill>
                  <w14:solidFill>
                    <w14:schemeClr w14:val="tx1"/>
                  </w14:solidFill>
                </w14:textFill>
              </w:rPr>
              <w:t>钻床</w:t>
            </w:r>
            <w:r>
              <w:rPr>
                <w:rFonts w:hint="default" w:ascii="Times New Roman" w:hAnsi="Times New Roman" w:cs="Times New Roman"/>
                <w:color w:val="000000" w:themeColor="text1"/>
                <w:sz w:val="21"/>
                <w:szCs w:val="21"/>
                <w:lang w:val="en-US" w:eastAsia="zh-CN"/>
                <w14:textFill>
                  <w14:solidFill>
                    <w14:schemeClr w14:val="tx1"/>
                  </w14:solidFill>
                </w14:textFill>
              </w:rPr>
              <w:t>等进行机加工。</w:t>
            </w:r>
            <w:r>
              <w:rPr>
                <w:rFonts w:hint="eastAsia" w:ascii="Times New Roman" w:cs="Times New Roman"/>
                <w:color w:val="000000" w:themeColor="text1"/>
                <w:sz w:val="21"/>
                <w:szCs w:val="21"/>
                <w:lang w:val="en-US" w:eastAsia="zh-CN"/>
                <w14:textFill>
                  <w14:solidFill>
                    <w14:schemeClr w14:val="tx1"/>
                  </w14:solidFill>
                </w14:textFill>
              </w:rPr>
              <w:t>此工序</w:t>
            </w:r>
            <w:r>
              <w:rPr>
                <w:rFonts w:hint="default" w:ascii="Times New Roman" w:hAnsi="Times New Roman" w:cs="Times New Roman"/>
                <w:color w:val="000000" w:themeColor="text1"/>
                <w:sz w:val="21"/>
                <w:szCs w:val="21"/>
                <w:lang w:val="en-US" w:eastAsia="zh-CN"/>
                <w14:textFill>
                  <w14:solidFill>
                    <w14:schemeClr w14:val="tx1"/>
                  </w14:solidFill>
                </w14:textFill>
              </w:rPr>
              <w:t>产生</w:t>
            </w:r>
            <w:r>
              <w:rPr>
                <w:rFonts w:hint="eastAsia" w:ascii="Times New Roman" w:cs="Times New Roman"/>
                <w:color w:val="000000" w:themeColor="text1"/>
                <w:sz w:val="21"/>
                <w:szCs w:val="21"/>
                <w:lang w:val="en-US" w:eastAsia="zh-CN"/>
                <w14:textFill>
                  <w14:solidFill>
                    <w14:schemeClr w14:val="tx1"/>
                  </w14:solidFill>
                </w14:textFill>
              </w:rPr>
              <w:t>少量废气（颗粒物、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r>
              <w:rPr>
                <w:rFonts w:hint="eastAsia" w:ascii="Times New Roman" w:cs="Times New Roman"/>
                <w:color w:val="000000" w:themeColor="text1"/>
                <w:sz w:val="21"/>
                <w:szCs w:val="21"/>
                <w:lang w:val="en-US"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、固废和噪声。</w:t>
            </w:r>
            <w:r>
              <w:rPr>
                <w:rFonts w:hint="eastAsia" w:ascii="Times New Roman" w:hAnsi="Times New Roman" w:cs="Times New Roman"/>
                <w:color w:val="000000" w:themeColor="text1"/>
                <w:sz w:val="21"/>
                <w:szCs w:val="21"/>
                <w:lang w:val="en-US" w:eastAsia="zh-CN"/>
                <w14:textFill>
                  <w14:solidFill>
                    <w14:schemeClr w14:val="tx1"/>
                  </w14:solidFill>
                </w14:textFill>
              </w:rPr>
              <w:t>年工作</w:t>
            </w:r>
            <w:r>
              <w:rPr>
                <w:rFonts w:hint="default" w:ascii="Times New Roman" w:hAnsi="Times New Roman" w:cs="Times New Roman"/>
                <w:color w:val="000000" w:themeColor="text1"/>
                <w:sz w:val="21"/>
                <w:szCs w:val="21"/>
                <w:lang w:val="en-US" w:eastAsia="zh-CN"/>
                <w14:textFill>
                  <w14:solidFill>
                    <w14:schemeClr w14:val="tx1"/>
                  </w14:solidFill>
                </w14:textFill>
              </w:rPr>
              <w:t>时间为1</w:t>
            </w:r>
            <w:r>
              <w:rPr>
                <w:rFonts w:hint="eastAsia" w:ascii="Times New Roman" w:cs="Times New Roman"/>
                <w:color w:val="000000" w:themeColor="text1"/>
                <w:sz w:val="21"/>
                <w:szCs w:val="21"/>
                <w:lang w:val="en-US" w:eastAsia="zh-CN"/>
                <w14:textFill>
                  <w14:solidFill>
                    <w14:schemeClr w14:val="tx1"/>
                  </w14:solidFill>
                </w14:textFill>
              </w:rPr>
              <w:t>200h</w:t>
            </w:r>
            <w:r>
              <w:rPr>
                <w:rFonts w:hint="default" w:ascii="Times New Roman" w:hAnsi="Times New Roman" w:cs="Times New Roman"/>
                <w:color w:val="000000" w:themeColor="text1"/>
                <w:sz w:val="21"/>
                <w:szCs w:val="21"/>
                <w:lang w:val="en-US" w:eastAsia="zh-CN"/>
                <w14:textFill>
                  <w14:solidFill>
                    <w14:schemeClr w14:val="tx1"/>
                  </w14:solidFill>
                </w14:textFill>
              </w:rPr>
              <w:t>。</w:t>
            </w:r>
          </w:p>
        </w:tc>
      </w:tr>
      <w:tr w14:paraId="1D99D9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47" w:hRule="atLeast"/>
        </w:trPr>
        <w:tc>
          <w:tcPr>
            <w:tcW w:w="588" w:type="dxa"/>
            <w:noWrap w:val="0"/>
            <w:vAlign w:val="center"/>
          </w:tcPr>
          <w:p w14:paraId="70E9CD6B">
            <w:pPr>
              <w:pStyle w:val="30"/>
              <w:shd w:val="clear"/>
              <w:adjustRightInd w:val="0"/>
              <w:snapToGrid w:val="0"/>
              <w:spacing w:before="0" w:beforeAutospacing="0" w:after="0" w:afterAutospacing="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t>与项目有关的原有环境污染问题</w:t>
            </w:r>
          </w:p>
        </w:tc>
        <w:tc>
          <w:tcPr>
            <w:tcW w:w="8396" w:type="dxa"/>
            <w:noWrap w:val="0"/>
            <w:vAlign w:val="center"/>
          </w:tcPr>
          <w:p w14:paraId="6F7E7F9F">
            <w:pPr>
              <w:pStyle w:val="32"/>
              <w:keepNext w:val="0"/>
              <w:keepLines w:val="0"/>
              <w:pageBreakBefore w:val="0"/>
              <w:widowControl/>
              <w:numPr>
                <w:ilvl w:val="0"/>
                <w:numId w:val="0"/>
              </w:numPr>
              <w:kinsoku/>
              <w:wordWrap/>
              <w:overflowPunct/>
              <w:topLinePunct w:val="0"/>
              <w:autoSpaceDE/>
              <w:autoSpaceDN/>
              <w:bidi w:val="0"/>
              <w:adjustRightInd/>
              <w:snapToGrid w:val="0"/>
              <w:spacing w:after="0" w:line="360" w:lineRule="auto"/>
              <w:ind w:left="0" w:leftChars="0" w:firstLine="408"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pacing w:val="-3"/>
                <w:kern w:val="0"/>
                <w:sz w:val="21"/>
                <w:szCs w:val="21"/>
                <w:highlight w:val="none"/>
                <w:lang w:val="en-US" w:eastAsia="zh-CN" w:bidi="ar-SA"/>
                <w14:textFill>
                  <w14:solidFill>
                    <w14:schemeClr w14:val="tx1"/>
                  </w14:solidFill>
                </w14:textFill>
              </w:rPr>
              <w:t>本项目为新建项目，不存在与本项目有关的原有环境</w:t>
            </w:r>
            <w:r>
              <w:rPr>
                <w:rFonts w:hint="default" w:ascii="Times New Roman" w:hAnsi="Times New Roman" w:cs="Times New Roman"/>
                <w:snapToGrid w:val="0"/>
                <w:color w:val="000000" w:themeColor="text1"/>
                <w:spacing w:val="-3"/>
                <w:kern w:val="0"/>
                <w:sz w:val="21"/>
                <w:szCs w:val="21"/>
                <w:highlight w:val="none"/>
                <w:lang w:val="en-US" w:eastAsia="zh-CN" w:bidi="ar-SA"/>
                <w14:textFill>
                  <w14:solidFill>
                    <w14:schemeClr w14:val="tx1"/>
                  </w14:solidFill>
                </w14:textFill>
              </w:rPr>
              <w:t>污染</w:t>
            </w:r>
            <w:r>
              <w:rPr>
                <w:rFonts w:hint="default" w:ascii="Times New Roman" w:hAnsi="Times New Roman" w:eastAsia="宋体" w:cs="Times New Roman"/>
                <w:snapToGrid w:val="0"/>
                <w:color w:val="000000" w:themeColor="text1"/>
                <w:spacing w:val="-3"/>
                <w:kern w:val="0"/>
                <w:sz w:val="21"/>
                <w:szCs w:val="21"/>
                <w:highlight w:val="none"/>
                <w:lang w:val="en-US" w:eastAsia="zh-CN" w:bidi="ar-SA"/>
                <w14:textFill>
                  <w14:solidFill>
                    <w14:schemeClr w14:val="tx1"/>
                  </w14:solidFill>
                </w14:textFill>
              </w:rPr>
              <w:t>问题。</w:t>
            </w:r>
          </w:p>
        </w:tc>
      </w:tr>
    </w:tbl>
    <w:p w14:paraId="5F4BEECE">
      <w:pPr>
        <w:pStyle w:val="30"/>
        <w:shd w:val="clear"/>
        <w:jc w:val="center"/>
        <w:rPr>
          <w:rFonts w:hint="default" w:ascii="Times New Roman" w:hAnsi="Times New Roman" w:eastAsia="宋体" w:cs="Times New Roman"/>
          <w:snapToGrid w:val="0"/>
          <w:color w:val="000000" w:themeColor="text1"/>
          <w:sz w:val="36"/>
          <w:szCs w:val="36"/>
          <w:highlight w:val="none"/>
          <w14:textFill>
            <w14:solidFill>
              <w14:schemeClr w14:val="tx1"/>
            </w14:solidFill>
          </w14:textFill>
        </w:rPr>
        <w:sectPr>
          <w:footerReference r:id="rId7" w:type="default"/>
          <w:pgSz w:w="11906" w:h="16838"/>
          <w:pgMar w:top="1701" w:right="1531" w:bottom="1701" w:left="1531" w:header="851" w:footer="851" w:gutter="0"/>
          <w:pgNumType w:fmt="decimal"/>
          <w:cols w:space="720" w:num="1"/>
          <w:docGrid w:linePitch="312" w:charSpace="0"/>
        </w:sectPr>
      </w:pPr>
    </w:p>
    <w:p w14:paraId="0280C26A">
      <w:pPr>
        <w:pStyle w:val="30"/>
        <w:shd w:val="clear"/>
        <w:adjustRightInd w:val="0"/>
        <w:snapToGrid w:val="0"/>
        <w:spacing w:before="0" w:beforeAutospacing="0" w:after="0" w:afterAutospacing="0" w:line="14" w:lineRule="auto"/>
        <w:jc w:val="center"/>
        <w:outlineLvl w:val="9"/>
        <w:rPr>
          <w:rFonts w:hint="default" w:ascii="Times New Roman" w:hAnsi="Times New Roman" w:eastAsia="宋体" w:cs="Times New Roman"/>
          <w:snapToGrid w:val="0"/>
          <w:color w:val="000000" w:themeColor="text1"/>
          <w:sz w:val="30"/>
          <w:szCs w:val="30"/>
          <w:highlight w:val="none"/>
          <w14:textFill>
            <w14:solidFill>
              <w14:schemeClr w14:val="tx1"/>
            </w14:solidFill>
          </w14:textFill>
        </w:rPr>
      </w:pPr>
    </w:p>
    <w:p w14:paraId="2DC44902">
      <w:pPr>
        <w:pStyle w:val="3"/>
        <w:shd w:val="clear"/>
        <w:bidi w:val="0"/>
        <w:jc w:val="center"/>
        <w:rPr>
          <w:rFonts w:hint="default" w:ascii="Times New Roman" w:hAnsi="Times New Roman" w:eastAsia="宋体" w:cs="Times New Roman"/>
          <w:color w:val="000000" w:themeColor="text1"/>
          <w:sz w:val="32"/>
          <w:szCs w:val="32"/>
          <w:highlight w:val="none"/>
          <w14:textFill>
            <w14:solidFill>
              <w14:schemeClr w14:val="tx1"/>
            </w14:solidFill>
          </w14:textFill>
        </w:rPr>
      </w:pPr>
      <w:bookmarkStart w:id="7" w:name="_Toc3817"/>
      <w:r>
        <w:rPr>
          <w:rFonts w:hint="default" w:ascii="Times New Roman" w:hAnsi="Times New Roman" w:eastAsia="宋体" w:cs="Times New Roman"/>
          <w:color w:val="000000" w:themeColor="text1"/>
          <w:sz w:val="32"/>
          <w:szCs w:val="32"/>
          <w:highlight w:val="none"/>
          <w14:textFill>
            <w14:solidFill>
              <w14:schemeClr w14:val="tx1"/>
            </w14:solidFill>
          </w14:textFill>
        </w:rPr>
        <w:t>三、区域环境质量现状、环境保护目标及评价标准</w:t>
      </w:r>
      <w:bookmarkEnd w:id="7"/>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01"/>
        <w:gridCol w:w="8660"/>
      </w:tblGrid>
      <w:tr w14:paraId="1082B3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1" w:type="dxa"/>
            <w:noWrap w:val="0"/>
            <w:vAlign w:val="center"/>
          </w:tcPr>
          <w:p w14:paraId="2EDF55B8">
            <w:pPr>
              <w:shd w:val="clear"/>
              <w:adjustRightInd w:val="0"/>
              <w:snapToGrid w:val="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区域环境质量现状</w:t>
            </w:r>
          </w:p>
        </w:tc>
        <w:tc>
          <w:tcPr>
            <w:tcW w:w="8660" w:type="dxa"/>
            <w:noWrap w:val="0"/>
            <w:vAlign w:val="center"/>
          </w:tcPr>
          <w:p w14:paraId="3ECCD5B3">
            <w:pPr>
              <w:shd w:val="clear"/>
              <w:snapToGrid w:val="0"/>
              <w:spacing w:line="360" w:lineRule="auto"/>
              <w:ind w:firstLine="482" w:firstLineChars="200"/>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一</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、大气环境</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质量</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现状</w:t>
            </w:r>
          </w:p>
          <w:p w14:paraId="036405C8">
            <w:pPr>
              <w:shd w:val="clear"/>
              <w:snapToGrid w:val="0"/>
              <w:spacing w:line="360" w:lineRule="auto"/>
              <w:ind w:firstLine="482" w:firstLineChars="200"/>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1、空气质量达标区判定</w:t>
            </w:r>
          </w:p>
          <w:p w14:paraId="76870815">
            <w:pPr>
              <w:pStyle w:val="77"/>
              <w:shd w:val="clear"/>
              <w:spacing w:line="360" w:lineRule="auto"/>
              <w:ind w:firstLine="42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根据《中山市环境空气质量功能区划》（2020年修改版），项目所在区域为环境空气质量功能二类区，执行《环境空气质量标准》（GB3095-20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14:textFill>
                  <w14:solidFill>
                    <w14:schemeClr w14:val="tx1"/>
                  </w14:solidFill>
                </w14:textFill>
              </w:rPr>
              <w:t>）二级标准。</w:t>
            </w:r>
          </w:p>
          <w:p w14:paraId="41B8D290">
            <w:pPr>
              <w:pStyle w:val="77"/>
              <w:shd w:val="clear"/>
              <w:spacing w:line="360" w:lineRule="auto"/>
              <w:ind w:firstLine="42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根据《中山市202</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年大气环境质量状况公报》，中山市二氧化硫、二氧化氮、可吸入颗粒物、细颗粒物的年均值及相应的日均值特定百分位数浓度值均达到《环境空气质量标准》（GB3095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过渡阶段浓度限值中的</w:t>
            </w:r>
            <w:r>
              <w:rPr>
                <w:rFonts w:hint="default" w:ascii="Times New Roman" w:hAnsi="Times New Roman" w:eastAsia="宋体" w:cs="Times New Roman"/>
                <w:color w:val="000000" w:themeColor="text1"/>
                <w:sz w:val="21"/>
                <w:szCs w:val="21"/>
                <w:highlight w:val="none"/>
                <w14:textFill>
                  <w14:solidFill>
                    <w14:schemeClr w14:val="tx1"/>
                  </w14:solidFill>
                </w14:textFill>
              </w:rPr>
              <w:t>二级标准，一氧化碳日均值第95百分位数浓度值达到《环境空气质量标准》（GB3095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过渡阶段浓度限值中的</w:t>
            </w:r>
            <w:r>
              <w:rPr>
                <w:rFonts w:hint="default" w:ascii="Times New Roman" w:hAnsi="Times New Roman" w:eastAsia="宋体" w:cs="Times New Roman"/>
                <w:color w:val="000000" w:themeColor="text1"/>
                <w:sz w:val="21"/>
                <w:szCs w:val="21"/>
                <w:highlight w:val="none"/>
                <w14:textFill>
                  <w14:solidFill>
                    <w14:schemeClr w14:val="tx1"/>
                  </w14:solidFill>
                </w14:textFill>
              </w:rPr>
              <w:t>二级标准，臭氧日最大8小时滑动平均值的第90百分位数浓度值</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达到</w:t>
            </w:r>
            <w:r>
              <w:rPr>
                <w:rFonts w:hint="default" w:ascii="Times New Roman" w:hAnsi="Times New Roman" w:eastAsia="宋体" w:cs="Times New Roman"/>
                <w:color w:val="000000" w:themeColor="text1"/>
                <w:sz w:val="21"/>
                <w:szCs w:val="21"/>
                <w:highlight w:val="none"/>
                <w14:textFill>
                  <w14:solidFill>
                    <w14:schemeClr w14:val="tx1"/>
                  </w14:solidFill>
                </w14:textFill>
              </w:rPr>
              <w:t>《环境空气质量标准》（GB3095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过渡阶段浓度限值中的</w:t>
            </w:r>
            <w:r>
              <w:rPr>
                <w:rFonts w:hint="default" w:ascii="Times New Roman" w:hAnsi="Times New Roman" w:eastAsia="宋体" w:cs="Times New Roman"/>
                <w:color w:val="000000" w:themeColor="text1"/>
                <w:sz w:val="21"/>
                <w:szCs w:val="21"/>
                <w:highlight w:val="none"/>
                <w14:textFill>
                  <w14:solidFill>
                    <w14:schemeClr w14:val="tx1"/>
                  </w14:solidFill>
                </w14:textFill>
              </w:rPr>
              <w:t>二级标准，项目所在区域为环境空气质量达标区。</w:t>
            </w:r>
          </w:p>
          <w:p w14:paraId="7157D73D">
            <w:pPr>
              <w:widowControl/>
              <w:numPr>
                <w:ilvl w:val="0"/>
                <w:numId w:val="0"/>
              </w:numPr>
              <w:shd w:val="clear"/>
              <w:spacing w:line="360" w:lineRule="auto"/>
              <w:ind w:left="0" w:leftChars="0" w:firstLine="0" w:firstLineChars="0"/>
              <w:contextualSpacing/>
              <w:jc w:val="center"/>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表1</w:t>
            </w:r>
            <w:r>
              <w:rPr>
                <w:rFonts w:hint="eastAsia" w:cs="Times New Roman"/>
                <w:b/>
                <w:bCs/>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中山市区域空气质量现状评价表</w:t>
            </w:r>
          </w:p>
          <w:tbl>
            <w:tblPr>
              <w:tblStyle w:val="33"/>
              <w:tblW w:w="44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2092"/>
              <w:gridCol w:w="1200"/>
              <w:gridCol w:w="1296"/>
              <w:gridCol w:w="1120"/>
              <w:gridCol w:w="1130"/>
            </w:tblGrid>
            <w:tr w14:paraId="2CAF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noWrap w:val="0"/>
                  <w:vAlign w:val="center"/>
                </w:tcPr>
                <w:p w14:paraId="416DC9B1">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污染物</w:t>
                  </w:r>
                </w:p>
              </w:tc>
              <w:tc>
                <w:tcPr>
                  <w:tcW w:w="1379" w:type="pct"/>
                  <w:noWrap w:val="0"/>
                  <w:vAlign w:val="center"/>
                </w:tcPr>
                <w:p w14:paraId="6F8F34CD">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评价指标</w:t>
                  </w:r>
                </w:p>
              </w:tc>
              <w:tc>
                <w:tcPr>
                  <w:tcW w:w="791" w:type="pct"/>
                  <w:noWrap w:val="0"/>
                  <w:vAlign w:val="center"/>
                </w:tcPr>
                <w:p w14:paraId="418C96B5">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现状浓度（µg/m</w:t>
                  </w:r>
                  <w:r>
                    <w:rPr>
                      <w:rFonts w:hint="default" w:ascii="Times New Roman" w:hAnsi="Times New Roman" w:eastAsia="宋体" w:cs="Times New Roman"/>
                      <w:b/>
                      <w:bCs/>
                      <w:color w:val="000000" w:themeColor="text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highlight w:val="none"/>
                      <w14:textFill>
                        <w14:solidFill>
                          <w14:schemeClr w14:val="tx1"/>
                        </w14:solidFill>
                      </w14:textFill>
                    </w:rPr>
                    <w:t>）</w:t>
                  </w:r>
                </w:p>
              </w:tc>
              <w:tc>
                <w:tcPr>
                  <w:tcW w:w="854" w:type="pct"/>
                  <w:noWrap w:val="0"/>
                  <w:vAlign w:val="center"/>
                </w:tcPr>
                <w:p w14:paraId="584EB2C0">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标准值（µg/m</w:t>
                  </w:r>
                  <w:r>
                    <w:rPr>
                      <w:rFonts w:hint="default" w:ascii="Times New Roman" w:hAnsi="Times New Roman" w:eastAsia="宋体" w:cs="Times New Roman"/>
                      <w:b/>
                      <w:bCs/>
                      <w:color w:val="000000" w:themeColor="text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highlight w:val="none"/>
                      <w14:textFill>
                        <w14:solidFill>
                          <w14:schemeClr w14:val="tx1"/>
                        </w14:solidFill>
                      </w14:textFill>
                    </w:rPr>
                    <w:t>）</w:t>
                  </w:r>
                </w:p>
              </w:tc>
              <w:tc>
                <w:tcPr>
                  <w:tcW w:w="738" w:type="pct"/>
                  <w:noWrap w:val="0"/>
                  <w:vAlign w:val="center"/>
                </w:tcPr>
                <w:p w14:paraId="3F619218">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占标率（%）</w:t>
                  </w:r>
                </w:p>
              </w:tc>
              <w:tc>
                <w:tcPr>
                  <w:tcW w:w="745" w:type="pct"/>
                  <w:noWrap w:val="0"/>
                  <w:vAlign w:val="center"/>
                </w:tcPr>
                <w:p w14:paraId="25336ACF">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达标情况</w:t>
                  </w:r>
                </w:p>
              </w:tc>
            </w:tr>
            <w:tr w14:paraId="6D6C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restart"/>
                  <w:noWrap w:val="0"/>
                  <w:vAlign w:val="center"/>
                </w:tcPr>
                <w:p w14:paraId="1F05E68F">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SO</w:t>
                  </w:r>
                  <w:r>
                    <w:rPr>
                      <w:rFonts w:hint="default" w:ascii="Times New Roman" w:hAnsi="Times New Roman" w:eastAsia="宋体" w:cs="Times New Roman"/>
                      <w:color w:val="000000" w:themeColor="text1"/>
                      <w:highlight w:val="none"/>
                      <w:vertAlign w:val="subscript"/>
                      <w14:textFill>
                        <w14:solidFill>
                          <w14:schemeClr w14:val="tx1"/>
                        </w14:solidFill>
                      </w14:textFill>
                    </w:rPr>
                    <w:t>2</w:t>
                  </w:r>
                </w:p>
              </w:tc>
              <w:tc>
                <w:tcPr>
                  <w:tcW w:w="1379" w:type="pct"/>
                  <w:noWrap w:val="0"/>
                  <w:vAlign w:val="center"/>
                </w:tcPr>
                <w:p w14:paraId="502BD3DE">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年平均质量浓度</w:t>
                  </w:r>
                </w:p>
              </w:tc>
              <w:tc>
                <w:tcPr>
                  <w:tcW w:w="791" w:type="pct"/>
                  <w:noWrap w:val="0"/>
                  <w:vAlign w:val="center"/>
                </w:tcPr>
                <w:p w14:paraId="4D082692">
                  <w:pPr>
                    <w:pStyle w:val="78"/>
                    <w:shd w:val="clear"/>
                    <w:spacing w:line="240" w:lineRule="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6</w:t>
                  </w:r>
                </w:p>
              </w:tc>
              <w:tc>
                <w:tcPr>
                  <w:tcW w:w="854" w:type="pct"/>
                  <w:noWrap w:val="0"/>
                  <w:vAlign w:val="center"/>
                </w:tcPr>
                <w:p w14:paraId="493A0EA4">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60</w:t>
                  </w:r>
                </w:p>
              </w:tc>
              <w:tc>
                <w:tcPr>
                  <w:tcW w:w="738" w:type="pct"/>
                  <w:noWrap w:val="0"/>
                  <w:vAlign w:val="center"/>
                </w:tcPr>
                <w:p w14:paraId="1719F8E8">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10</w:t>
                  </w:r>
                </w:p>
              </w:tc>
              <w:tc>
                <w:tcPr>
                  <w:tcW w:w="745" w:type="pct"/>
                  <w:noWrap w:val="0"/>
                  <w:vAlign w:val="center"/>
                </w:tcPr>
                <w:p w14:paraId="49EDC1A8">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达标</w:t>
                  </w:r>
                </w:p>
              </w:tc>
            </w:tr>
            <w:tr w14:paraId="7FF3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continue"/>
                  <w:noWrap w:val="0"/>
                  <w:vAlign w:val="center"/>
                </w:tcPr>
                <w:p w14:paraId="1207FF06">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379" w:type="pct"/>
                  <w:noWrap w:val="0"/>
                  <w:vAlign w:val="center"/>
                </w:tcPr>
                <w:p w14:paraId="23B7B8D7">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24小时平均第98百分位数</w:t>
                  </w:r>
                </w:p>
              </w:tc>
              <w:tc>
                <w:tcPr>
                  <w:tcW w:w="791" w:type="pct"/>
                  <w:noWrap w:val="0"/>
                  <w:vAlign w:val="center"/>
                </w:tcPr>
                <w:p w14:paraId="256DC36F">
                  <w:pPr>
                    <w:pStyle w:val="78"/>
                    <w:shd w:val="clear"/>
                    <w:spacing w:line="240" w:lineRule="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8</w:t>
                  </w:r>
                </w:p>
              </w:tc>
              <w:tc>
                <w:tcPr>
                  <w:tcW w:w="854" w:type="pct"/>
                  <w:noWrap w:val="0"/>
                  <w:vAlign w:val="center"/>
                </w:tcPr>
                <w:p w14:paraId="3B8B2230">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150</w:t>
                  </w:r>
                </w:p>
              </w:tc>
              <w:tc>
                <w:tcPr>
                  <w:tcW w:w="738" w:type="pct"/>
                  <w:noWrap w:val="0"/>
                  <w:vAlign w:val="center"/>
                </w:tcPr>
                <w:p w14:paraId="7ED2D757">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5.33</w:t>
                  </w:r>
                </w:p>
              </w:tc>
              <w:tc>
                <w:tcPr>
                  <w:tcW w:w="745" w:type="pct"/>
                  <w:noWrap w:val="0"/>
                  <w:vAlign w:val="center"/>
                </w:tcPr>
                <w:p w14:paraId="76083DB4">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达标</w:t>
                  </w:r>
                </w:p>
              </w:tc>
            </w:tr>
            <w:tr w14:paraId="231A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restart"/>
                  <w:noWrap w:val="0"/>
                  <w:vAlign w:val="center"/>
                </w:tcPr>
                <w:p w14:paraId="69E02B51">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NO</w:t>
                  </w:r>
                  <w:r>
                    <w:rPr>
                      <w:rFonts w:hint="default" w:ascii="Times New Roman" w:hAnsi="Times New Roman" w:eastAsia="宋体" w:cs="Times New Roman"/>
                      <w:color w:val="000000" w:themeColor="text1"/>
                      <w:highlight w:val="none"/>
                      <w:vertAlign w:val="subscript"/>
                      <w14:textFill>
                        <w14:solidFill>
                          <w14:schemeClr w14:val="tx1"/>
                        </w14:solidFill>
                      </w14:textFill>
                    </w:rPr>
                    <w:t>2</w:t>
                  </w:r>
                </w:p>
              </w:tc>
              <w:tc>
                <w:tcPr>
                  <w:tcW w:w="1379" w:type="pct"/>
                  <w:noWrap w:val="0"/>
                  <w:vAlign w:val="center"/>
                </w:tcPr>
                <w:p w14:paraId="1F8ACCBC">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年平均质量浓度</w:t>
                  </w:r>
                </w:p>
              </w:tc>
              <w:tc>
                <w:tcPr>
                  <w:tcW w:w="791" w:type="pct"/>
                  <w:noWrap w:val="0"/>
                  <w:vAlign w:val="center"/>
                </w:tcPr>
                <w:p w14:paraId="3EB4E964">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22</w:t>
                  </w:r>
                </w:p>
              </w:tc>
              <w:tc>
                <w:tcPr>
                  <w:tcW w:w="854" w:type="pct"/>
                  <w:noWrap w:val="0"/>
                  <w:vAlign w:val="center"/>
                </w:tcPr>
                <w:p w14:paraId="63A35048">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40</w:t>
                  </w:r>
                </w:p>
              </w:tc>
              <w:tc>
                <w:tcPr>
                  <w:tcW w:w="738" w:type="pct"/>
                  <w:noWrap w:val="0"/>
                  <w:vAlign w:val="center"/>
                </w:tcPr>
                <w:p w14:paraId="1623FCA2">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55</w:t>
                  </w:r>
                </w:p>
              </w:tc>
              <w:tc>
                <w:tcPr>
                  <w:tcW w:w="745" w:type="pct"/>
                  <w:noWrap w:val="0"/>
                  <w:vAlign w:val="center"/>
                </w:tcPr>
                <w:p w14:paraId="3DBAABFC">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达标</w:t>
                  </w:r>
                </w:p>
              </w:tc>
            </w:tr>
            <w:tr w14:paraId="2309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continue"/>
                  <w:noWrap w:val="0"/>
                  <w:vAlign w:val="center"/>
                </w:tcPr>
                <w:p w14:paraId="000B25BC">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379" w:type="pct"/>
                  <w:noWrap w:val="0"/>
                  <w:vAlign w:val="center"/>
                </w:tcPr>
                <w:p w14:paraId="54E48BC5">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24小时平均第98百分位数</w:t>
                  </w:r>
                </w:p>
              </w:tc>
              <w:tc>
                <w:tcPr>
                  <w:tcW w:w="791" w:type="pct"/>
                  <w:noWrap w:val="0"/>
                  <w:vAlign w:val="center"/>
                </w:tcPr>
                <w:p w14:paraId="54FD297C">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57</w:t>
                  </w:r>
                </w:p>
              </w:tc>
              <w:tc>
                <w:tcPr>
                  <w:tcW w:w="854" w:type="pct"/>
                  <w:noWrap w:val="0"/>
                  <w:vAlign w:val="center"/>
                </w:tcPr>
                <w:p w14:paraId="22FD83CC">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80</w:t>
                  </w:r>
                </w:p>
              </w:tc>
              <w:tc>
                <w:tcPr>
                  <w:tcW w:w="738" w:type="pct"/>
                  <w:noWrap w:val="0"/>
                  <w:vAlign w:val="center"/>
                </w:tcPr>
                <w:p w14:paraId="5BB94C14">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71.25</w:t>
                  </w:r>
                </w:p>
              </w:tc>
              <w:tc>
                <w:tcPr>
                  <w:tcW w:w="745" w:type="pct"/>
                  <w:noWrap w:val="0"/>
                  <w:vAlign w:val="center"/>
                </w:tcPr>
                <w:p w14:paraId="13768A11">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达标</w:t>
                  </w:r>
                </w:p>
              </w:tc>
            </w:tr>
            <w:tr w14:paraId="0BED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restart"/>
                  <w:noWrap w:val="0"/>
                  <w:vAlign w:val="center"/>
                </w:tcPr>
                <w:p w14:paraId="002B8FD6">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PM</w:t>
                  </w:r>
                  <w:r>
                    <w:rPr>
                      <w:rFonts w:hint="default" w:ascii="Times New Roman" w:hAnsi="Times New Roman" w:eastAsia="宋体" w:cs="Times New Roman"/>
                      <w:color w:val="000000" w:themeColor="text1"/>
                      <w:highlight w:val="none"/>
                      <w:vertAlign w:val="subscript"/>
                      <w14:textFill>
                        <w14:solidFill>
                          <w14:schemeClr w14:val="tx1"/>
                        </w14:solidFill>
                      </w14:textFill>
                    </w:rPr>
                    <w:t>10</w:t>
                  </w:r>
                </w:p>
              </w:tc>
              <w:tc>
                <w:tcPr>
                  <w:tcW w:w="1379" w:type="pct"/>
                  <w:noWrap w:val="0"/>
                  <w:vAlign w:val="center"/>
                </w:tcPr>
                <w:p w14:paraId="1A84F7ED">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年平均质量浓度</w:t>
                  </w:r>
                </w:p>
              </w:tc>
              <w:tc>
                <w:tcPr>
                  <w:tcW w:w="791" w:type="pct"/>
                  <w:noWrap w:val="0"/>
                  <w:vAlign w:val="center"/>
                </w:tcPr>
                <w:p w14:paraId="4B2170E0">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33</w:t>
                  </w:r>
                </w:p>
              </w:tc>
              <w:tc>
                <w:tcPr>
                  <w:tcW w:w="1296" w:type="dxa"/>
                  <w:noWrap w:val="0"/>
                  <w:vAlign w:val="center"/>
                </w:tcPr>
                <w:p w14:paraId="7FC057D4">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60</w:t>
                  </w:r>
                </w:p>
              </w:tc>
              <w:tc>
                <w:tcPr>
                  <w:tcW w:w="1120" w:type="dxa"/>
                  <w:noWrap w:val="0"/>
                  <w:vAlign w:val="center"/>
                </w:tcPr>
                <w:p w14:paraId="4166A357">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55</w:t>
                  </w:r>
                </w:p>
              </w:tc>
              <w:tc>
                <w:tcPr>
                  <w:tcW w:w="745" w:type="pct"/>
                  <w:noWrap w:val="0"/>
                  <w:vAlign w:val="center"/>
                </w:tcPr>
                <w:p w14:paraId="6F243945">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达标</w:t>
                  </w:r>
                </w:p>
              </w:tc>
            </w:tr>
            <w:tr w14:paraId="313C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continue"/>
                  <w:noWrap w:val="0"/>
                  <w:vAlign w:val="center"/>
                </w:tcPr>
                <w:p w14:paraId="17A00582">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379" w:type="pct"/>
                  <w:noWrap w:val="0"/>
                  <w:vAlign w:val="center"/>
                </w:tcPr>
                <w:p w14:paraId="1A910237">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24小时平均第95百分位数</w:t>
                  </w:r>
                </w:p>
              </w:tc>
              <w:tc>
                <w:tcPr>
                  <w:tcW w:w="791" w:type="pct"/>
                  <w:noWrap w:val="0"/>
                  <w:vAlign w:val="center"/>
                </w:tcPr>
                <w:p w14:paraId="341C8ED5">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76</w:t>
                  </w:r>
                </w:p>
              </w:tc>
              <w:tc>
                <w:tcPr>
                  <w:tcW w:w="1296" w:type="dxa"/>
                  <w:noWrap w:val="0"/>
                  <w:vAlign w:val="center"/>
                </w:tcPr>
                <w:p w14:paraId="0917FF78">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w:t>
                  </w:r>
                  <w:r>
                    <w:rPr>
                      <w:rFonts w:hint="eastAsia" w:hAnsi="Times New Roman" w:cs="Times New Roman"/>
                      <w:color w:val="000000" w:themeColor="text1"/>
                      <w:highlight w:val="none"/>
                      <w:lang w:val="en-US" w:eastAsia="zh-CN"/>
                      <w14:textFill>
                        <w14:solidFill>
                          <w14:schemeClr w14:val="tx1"/>
                        </w14:solidFill>
                      </w14:textFill>
                    </w:rPr>
                    <w:t>20</w:t>
                  </w:r>
                </w:p>
              </w:tc>
              <w:tc>
                <w:tcPr>
                  <w:tcW w:w="1120" w:type="dxa"/>
                  <w:noWrap w:val="0"/>
                  <w:vAlign w:val="center"/>
                </w:tcPr>
                <w:p w14:paraId="4EA9277D">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63.33</w:t>
                  </w:r>
                </w:p>
              </w:tc>
              <w:tc>
                <w:tcPr>
                  <w:tcW w:w="745" w:type="pct"/>
                  <w:noWrap w:val="0"/>
                  <w:vAlign w:val="center"/>
                </w:tcPr>
                <w:p w14:paraId="36589272">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达标</w:t>
                  </w:r>
                </w:p>
              </w:tc>
            </w:tr>
            <w:tr w14:paraId="7393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restart"/>
                  <w:noWrap w:val="0"/>
                  <w:vAlign w:val="center"/>
                </w:tcPr>
                <w:p w14:paraId="4003D78D">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PM</w:t>
                  </w:r>
                  <w:r>
                    <w:rPr>
                      <w:rFonts w:hint="default" w:ascii="Times New Roman" w:hAnsi="Times New Roman" w:eastAsia="宋体" w:cs="Times New Roman"/>
                      <w:color w:val="000000" w:themeColor="text1"/>
                      <w:highlight w:val="none"/>
                      <w:vertAlign w:val="subscript"/>
                      <w14:textFill>
                        <w14:solidFill>
                          <w14:schemeClr w14:val="tx1"/>
                        </w14:solidFill>
                      </w14:textFill>
                    </w:rPr>
                    <w:t>2.5</w:t>
                  </w:r>
                </w:p>
              </w:tc>
              <w:tc>
                <w:tcPr>
                  <w:tcW w:w="1379" w:type="pct"/>
                  <w:noWrap w:val="0"/>
                  <w:vAlign w:val="center"/>
                </w:tcPr>
                <w:p w14:paraId="06E3EC37">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年平均质量浓度</w:t>
                  </w:r>
                </w:p>
              </w:tc>
              <w:tc>
                <w:tcPr>
                  <w:tcW w:w="791" w:type="pct"/>
                  <w:noWrap w:val="0"/>
                  <w:vAlign w:val="center"/>
                </w:tcPr>
                <w:p w14:paraId="060C799B">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20</w:t>
                  </w:r>
                </w:p>
              </w:tc>
              <w:tc>
                <w:tcPr>
                  <w:tcW w:w="1296" w:type="dxa"/>
                  <w:noWrap w:val="0"/>
                  <w:vAlign w:val="center"/>
                </w:tcPr>
                <w:p w14:paraId="122884EA">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30</w:t>
                  </w:r>
                </w:p>
              </w:tc>
              <w:tc>
                <w:tcPr>
                  <w:tcW w:w="1120" w:type="dxa"/>
                  <w:noWrap w:val="0"/>
                  <w:vAlign w:val="center"/>
                </w:tcPr>
                <w:p w14:paraId="60C5A4F4">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66.67</w:t>
                  </w:r>
                </w:p>
              </w:tc>
              <w:tc>
                <w:tcPr>
                  <w:tcW w:w="745" w:type="pct"/>
                  <w:noWrap w:val="0"/>
                  <w:vAlign w:val="center"/>
                </w:tcPr>
                <w:p w14:paraId="06DF764D">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达标</w:t>
                  </w:r>
                </w:p>
              </w:tc>
            </w:tr>
            <w:tr w14:paraId="679E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vMerge w:val="continue"/>
                  <w:noWrap w:val="0"/>
                  <w:vAlign w:val="center"/>
                </w:tcPr>
                <w:p w14:paraId="2006BC0F">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1379" w:type="pct"/>
                  <w:noWrap w:val="0"/>
                  <w:vAlign w:val="center"/>
                </w:tcPr>
                <w:p w14:paraId="3E0A9C39">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24小时平均第95百分位数</w:t>
                  </w:r>
                </w:p>
              </w:tc>
              <w:tc>
                <w:tcPr>
                  <w:tcW w:w="791" w:type="pct"/>
                  <w:noWrap w:val="0"/>
                  <w:vAlign w:val="center"/>
                </w:tcPr>
                <w:p w14:paraId="3BEA0112">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50</w:t>
                  </w:r>
                </w:p>
              </w:tc>
              <w:tc>
                <w:tcPr>
                  <w:tcW w:w="1296" w:type="dxa"/>
                  <w:noWrap w:val="0"/>
                  <w:vAlign w:val="center"/>
                </w:tcPr>
                <w:p w14:paraId="23282DDE">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60</w:t>
                  </w:r>
                </w:p>
              </w:tc>
              <w:tc>
                <w:tcPr>
                  <w:tcW w:w="1120" w:type="dxa"/>
                  <w:noWrap w:val="0"/>
                  <w:vAlign w:val="center"/>
                </w:tcPr>
                <w:p w14:paraId="4A4DB062">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83.33</w:t>
                  </w:r>
                </w:p>
              </w:tc>
              <w:tc>
                <w:tcPr>
                  <w:tcW w:w="745" w:type="pct"/>
                  <w:noWrap w:val="0"/>
                  <w:vAlign w:val="center"/>
                </w:tcPr>
                <w:p w14:paraId="29644860">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达标</w:t>
                  </w:r>
                </w:p>
              </w:tc>
            </w:tr>
            <w:tr w14:paraId="0197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noWrap w:val="0"/>
                  <w:vAlign w:val="center"/>
                </w:tcPr>
                <w:p w14:paraId="0127CD57">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CO</w:t>
                  </w:r>
                </w:p>
              </w:tc>
              <w:tc>
                <w:tcPr>
                  <w:tcW w:w="1379" w:type="pct"/>
                  <w:noWrap w:val="0"/>
                  <w:vAlign w:val="center"/>
                </w:tcPr>
                <w:p w14:paraId="2D510515">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24小时平均第95百分位数</w:t>
                  </w:r>
                </w:p>
              </w:tc>
              <w:tc>
                <w:tcPr>
                  <w:tcW w:w="791" w:type="pct"/>
                  <w:noWrap w:val="0"/>
                  <w:vAlign w:val="center"/>
                </w:tcPr>
                <w:p w14:paraId="6EF0E783">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700</w:t>
                  </w:r>
                </w:p>
              </w:tc>
              <w:tc>
                <w:tcPr>
                  <w:tcW w:w="854" w:type="pct"/>
                  <w:noWrap w:val="0"/>
                  <w:vAlign w:val="center"/>
                </w:tcPr>
                <w:p w14:paraId="12DB3059">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4000</w:t>
                  </w:r>
                </w:p>
              </w:tc>
              <w:tc>
                <w:tcPr>
                  <w:tcW w:w="738" w:type="pct"/>
                  <w:noWrap w:val="0"/>
                  <w:vAlign w:val="center"/>
                </w:tcPr>
                <w:p w14:paraId="4C8AD8DE">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17.5</w:t>
                  </w:r>
                </w:p>
              </w:tc>
              <w:tc>
                <w:tcPr>
                  <w:tcW w:w="745" w:type="pct"/>
                  <w:noWrap w:val="0"/>
                  <w:vAlign w:val="center"/>
                </w:tcPr>
                <w:p w14:paraId="01E59F21">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达标</w:t>
                  </w:r>
                </w:p>
              </w:tc>
            </w:tr>
            <w:tr w14:paraId="596D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pct"/>
                  <w:noWrap w:val="0"/>
                  <w:vAlign w:val="center"/>
                </w:tcPr>
                <w:p w14:paraId="5FCC08AA">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O</w:t>
                  </w:r>
                  <w:r>
                    <w:rPr>
                      <w:rFonts w:hint="default" w:ascii="Times New Roman" w:hAnsi="Times New Roman" w:eastAsia="宋体" w:cs="Times New Roman"/>
                      <w:color w:val="000000" w:themeColor="text1"/>
                      <w:highlight w:val="none"/>
                      <w:vertAlign w:val="subscript"/>
                      <w14:textFill>
                        <w14:solidFill>
                          <w14:schemeClr w14:val="tx1"/>
                        </w14:solidFill>
                      </w14:textFill>
                    </w:rPr>
                    <w:t>3</w:t>
                  </w:r>
                </w:p>
              </w:tc>
              <w:tc>
                <w:tcPr>
                  <w:tcW w:w="1379" w:type="pct"/>
                  <w:noWrap w:val="0"/>
                  <w:vAlign w:val="center"/>
                </w:tcPr>
                <w:p w14:paraId="48D7727D">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日最大8h滑动平均值第90百分位数</w:t>
                  </w:r>
                </w:p>
              </w:tc>
              <w:tc>
                <w:tcPr>
                  <w:tcW w:w="791" w:type="pct"/>
                  <w:noWrap w:val="0"/>
                  <w:vAlign w:val="center"/>
                </w:tcPr>
                <w:p w14:paraId="4F35D165">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157</w:t>
                  </w:r>
                </w:p>
              </w:tc>
              <w:tc>
                <w:tcPr>
                  <w:tcW w:w="854" w:type="pct"/>
                  <w:noWrap w:val="0"/>
                  <w:vAlign w:val="center"/>
                </w:tcPr>
                <w:p w14:paraId="5CD6A2BD">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160</w:t>
                  </w:r>
                </w:p>
              </w:tc>
              <w:tc>
                <w:tcPr>
                  <w:tcW w:w="738" w:type="pct"/>
                  <w:noWrap w:val="0"/>
                  <w:vAlign w:val="center"/>
                </w:tcPr>
                <w:p w14:paraId="55CB6373">
                  <w:pPr>
                    <w:pStyle w:val="78"/>
                    <w:shd w:val="clear"/>
                    <w:spacing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98.125</w:t>
                  </w:r>
                </w:p>
              </w:tc>
              <w:tc>
                <w:tcPr>
                  <w:tcW w:w="745" w:type="pct"/>
                  <w:noWrap w:val="0"/>
                  <w:vAlign w:val="center"/>
                </w:tcPr>
                <w:p w14:paraId="5987E4EF">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达标</w:t>
                  </w:r>
                </w:p>
              </w:tc>
            </w:tr>
          </w:tbl>
          <w:p w14:paraId="0C3228DB">
            <w:pPr>
              <w:shd w:val="clear"/>
              <w:spacing w:line="360" w:lineRule="auto"/>
              <w:ind w:firstLine="482" w:firstLineChars="200"/>
              <w:jc w:val="left"/>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2、基本污染物环境质量现状</w:t>
            </w:r>
          </w:p>
          <w:p w14:paraId="5D7BE578">
            <w:pPr>
              <w:shd w:val="clear"/>
              <w:spacing w:line="360" w:lineRule="auto"/>
              <w:ind w:firstLine="420" w:firstLineChars="20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本项目位于环境空气二类功能区，基本污染物SO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、NO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1"/>
                <w:szCs w:val="21"/>
                <w:highlight w:val="none"/>
                <w14:textFill>
                  <w14:solidFill>
                    <w14:schemeClr w14:val="tx1"/>
                  </w14:solidFill>
                </w14:textFill>
              </w:rPr>
              <w:t>、CO、O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执行《环境空气质量标准》（GB3095-20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过渡阶段浓度限值中的</w:t>
            </w:r>
            <w:r>
              <w:rPr>
                <w:rFonts w:hint="default" w:ascii="Times New Roman" w:hAnsi="Times New Roman" w:eastAsia="宋体" w:cs="Times New Roman"/>
                <w:color w:val="000000" w:themeColor="text1"/>
                <w:sz w:val="21"/>
                <w:szCs w:val="21"/>
                <w:highlight w:val="none"/>
                <w14:textFill>
                  <w14:solidFill>
                    <w14:schemeClr w14:val="tx1"/>
                  </w14:solidFill>
                </w14:textFill>
              </w:rPr>
              <w:t>二级标准。本次环评引用中山市</w:t>
            </w:r>
            <w:r>
              <w:rPr>
                <w:rFonts w:hint="eastAsia" w:cs="Times New Roman"/>
                <w:color w:val="000000" w:themeColor="text1"/>
                <w:sz w:val="21"/>
                <w:szCs w:val="21"/>
                <w:highlight w:val="none"/>
                <w:lang w:val="en-US" w:eastAsia="zh-CN"/>
                <w14:textFill>
                  <w14:solidFill>
                    <w14:schemeClr w14:val="tx1"/>
                  </w14:solidFill>
                </w14:textFill>
              </w:rPr>
              <w:t>南朗</w:t>
            </w:r>
            <w:r>
              <w:rPr>
                <w:rFonts w:hint="default" w:ascii="Times New Roman" w:hAnsi="Times New Roman" w:eastAsia="宋体" w:cs="Times New Roman"/>
                <w:color w:val="000000" w:themeColor="text1"/>
                <w:sz w:val="21"/>
                <w:szCs w:val="21"/>
                <w:highlight w:val="none"/>
                <w14:textFill>
                  <w14:solidFill>
                    <w14:schemeClr w14:val="tx1"/>
                  </w14:solidFill>
                </w14:textFill>
              </w:rPr>
              <w:t>监测站202</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年空气质量自动监测数据对基本污染物环境质量现状进行评价，根据《中山市202</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年空气质量监测站日均值</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状况</w:t>
            </w:r>
            <w:r>
              <w:rPr>
                <w:rFonts w:hint="default" w:ascii="Times New Roman" w:hAnsi="Times New Roman" w:eastAsia="宋体" w:cs="Times New Roman"/>
                <w:color w:val="000000" w:themeColor="text1"/>
                <w:sz w:val="21"/>
                <w:szCs w:val="21"/>
                <w:highlight w:val="none"/>
                <w14:textFill>
                  <w14:solidFill>
                    <w14:schemeClr w14:val="tx1"/>
                  </w14:solidFill>
                </w14:textFill>
              </w:rPr>
              <w:t>公报》，</w:t>
            </w:r>
            <w:r>
              <w:rPr>
                <w:rFonts w:hint="eastAsia" w:cs="Times New Roman"/>
                <w:color w:val="000000" w:themeColor="text1"/>
                <w:sz w:val="21"/>
                <w:szCs w:val="21"/>
                <w:highlight w:val="none"/>
                <w:lang w:val="en-US" w:eastAsia="zh-CN"/>
                <w14:textFill>
                  <w14:solidFill>
                    <w14:schemeClr w14:val="tx1"/>
                  </w14:solidFill>
                </w14:textFill>
              </w:rPr>
              <w:t>南朗</w:t>
            </w:r>
            <w:r>
              <w:rPr>
                <w:rFonts w:hint="default" w:ascii="Times New Roman" w:hAnsi="Times New Roman" w:eastAsia="宋体" w:cs="Times New Roman"/>
                <w:color w:val="000000" w:themeColor="text1"/>
                <w:sz w:val="21"/>
                <w:szCs w:val="21"/>
                <w:highlight w:val="none"/>
                <w14:textFill>
                  <w14:solidFill>
                    <w14:schemeClr w14:val="tx1"/>
                  </w14:solidFill>
                </w14:textFill>
              </w:rPr>
              <w:t>监测站20</w:t>
            </w:r>
            <w:r>
              <w:rPr>
                <w:rFonts w:hint="eastAsia" w:cs="Times New Roman"/>
                <w:color w:val="000000" w:themeColor="text1"/>
                <w:sz w:val="21"/>
                <w:szCs w:val="21"/>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sz w:val="21"/>
                <w:szCs w:val="21"/>
                <w:highlight w:val="none"/>
                <w14:textFill>
                  <w14:solidFill>
                    <w14:schemeClr w14:val="tx1"/>
                  </w14:solidFill>
                </w14:textFill>
              </w:rPr>
              <w:t>年基本污染物SO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、NO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1"/>
                <w:szCs w:val="21"/>
                <w:highlight w:val="none"/>
                <w14:textFill>
                  <w14:solidFill>
                    <w14:schemeClr w14:val="tx1"/>
                  </w14:solidFill>
                </w14:textFill>
              </w:rPr>
              <w:t>、CO、O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的监测结果如下表所示。</w:t>
            </w:r>
          </w:p>
          <w:p w14:paraId="70730FF9">
            <w:pPr>
              <w:widowControl/>
              <w:numPr>
                <w:ilvl w:val="0"/>
                <w:numId w:val="0"/>
              </w:numPr>
              <w:shd w:val="clear"/>
              <w:spacing w:line="360" w:lineRule="auto"/>
              <w:ind w:left="0" w:leftChars="0" w:firstLine="0" w:firstLineChars="0"/>
              <w:contextualSpacing/>
              <w:jc w:val="center"/>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表1</w:t>
            </w:r>
            <w:r>
              <w:rPr>
                <w:rFonts w:hint="eastAsia" w:cs="Times New Roman"/>
                <w:b/>
                <w:bCs/>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基本污染物环境质量现状（</w:t>
            </w:r>
            <w:r>
              <w:rPr>
                <w:rFonts w:hint="eastAsia" w:cs="Times New Roman"/>
                <w:b/>
                <w:bCs/>
                <w:color w:val="000000" w:themeColor="text1"/>
                <w:sz w:val="24"/>
                <w:szCs w:val="24"/>
                <w:highlight w:val="none"/>
                <w:lang w:val="en-US" w:eastAsia="zh-CN"/>
                <w14:textFill>
                  <w14:solidFill>
                    <w14:schemeClr w14:val="tx1"/>
                  </w14:solidFill>
                </w14:textFill>
              </w:rPr>
              <w:t>南朗</w:t>
            </w:r>
            <w:r>
              <w:rPr>
                <w:rFonts w:hint="default" w:ascii="Times New Roman" w:hAnsi="Times New Roman" w:eastAsia="宋体" w:cs="Times New Roman"/>
                <w:b/>
                <w:bCs/>
                <w:color w:val="000000" w:themeColor="text1"/>
                <w:spacing w:val="-3"/>
                <w:sz w:val="24"/>
                <w:szCs w:val="24"/>
                <w:highlight w:val="none"/>
                <w14:textFill>
                  <w14:solidFill>
                    <w14:schemeClr w14:val="tx1"/>
                  </w14:solidFill>
                </w14:textFill>
              </w:rPr>
              <w:t>）</w:t>
            </w:r>
          </w:p>
          <w:tbl>
            <w:tblPr>
              <w:tblStyle w:val="3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796"/>
              <w:gridCol w:w="781"/>
              <w:gridCol w:w="754"/>
              <w:gridCol w:w="1770"/>
              <w:gridCol w:w="747"/>
              <w:gridCol w:w="825"/>
              <w:gridCol w:w="734"/>
              <w:gridCol w:w="825"/>
              <w:gridCol w:w="682"/>
            </w:tblGrid>
            <w:tr w14:paraId="079C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05" w:type="pct"/>
                  <w:vMerge w:val="restart"/>
                  <w:tcBorders>
                    <w:top w:val="single" w:color="auto" w:sz="4" w:space="0"/>
                    <w:left w:val="single" w:color="auto" w:sz="4" w:space="0"/>
                    <w:right w:val="single" w:color="auto" w:sz="4" w:space="0"/>
                  </w:tcBorders>
                  <w:noWrap w:val="0"/>
                  <w:vAlign w:val="center"/>
                </w:tcPr>
                <w:p w14:paraId="2F6DDED8">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点位名称</w:t>
                  </w:r>
                </w:p>
              </w:tc>
              <w:tc>
                <w:tcPr>
                  <w:tcW w:w="935" w:type="pct"/>
                  <w:gridSpan w:val="2"/>
                  <w:tcBorders>
                    <w:top w:val="single" w:color="auto" w:sz="4" w:space="0"/>
                    <w:left w:val="single" w:color="auto" w:sz="4" w:space="0"/>
                    <w:right w:val="single" w:color="auto" w:sz="4" w:space="0"/>
                  </w:tcBorders>
                  <w:noWrap w:val="0"/>
                  <w:vAlign w:val="center"/>
                </w:tcPr>
                <w:p w14:paraId="0065696A">
                  <w:pPr>
                    <w:pStyle w:val="78"/>
                    <w:shd w:val="clea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监测点坐标/m</w:t>
                  </w:r>
                </w:p>
              </w:tc>
              <w:tc>
                <w:tcPr>
                  <w:tcW w:w="447" w:type="pct"/>
                  <w:vMerge w:val="restart"/>
                  <w:tcBorders>
                    <w:top w:val="single" w:color="auto" w:sz="4" w:space="0"/>
                    <w:left w:val="single" w:color="auto" w:sz="4" w:space="0"/>
                    <w:right w:val="single" w:color="auto" w:sz="4" w:space="0"/>
                  </w:tcBorders>
                  <w:noWrap w:val="0"/>
                  <w:vAlign w:val="center"/>
                </w:tcPr>
                <w:p w14:paraId="2ECF901C">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污染物</w:t>
                  </w:r>
                </w:p>
              </w:tc>
              <w:tc>
                <w:tcPr>
                  <w:tcW w:w="1049" w:type="pct"/>
                  <w:vMerge w:val="restart"/>
                  <w:tcBorders>
                    <w:top w:val="single" w:color="auto" w:sz="4" w:space="0"/>
                    <w:left w:val="single" w:color="auto" w:sz="4" w:space="0"/>
                    <w:right w:val="single" w:color="auto" w:sz="4" w:space="0"/>
                  </w:tcBorders>
                  <w:noWrap w:val="0"/>
                  <w:vAlign w:val="center"/>
                </w:tcPr>
                <w:p w14:paraId="7B0E9639">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评价指标</w:t>
                  </w:r>
                </w:p>
              </w:tc>
              <w:tc>
                <w:tcPr>
                  <w:tcW w:w="443" w:type="pct"/>
                  <w:vMerge w:val="restart"/>
                  <w:tcBorders>
                    <w:top w:val="single" w:color="auto" w:sz="4" w:space="0"/>
                    <w:left w:val="single" w:color="auto" w:sz="4" w:space="0"/>
                    <w:right w:val="single" w:color="auto" w:sz="4" w:space="0"/>
                  </w:tcBorders>
                  <w:noWrap w:val="0"/>
                  <w:vAlign w:val="center"/>
                </w:tcPr>
                <w:p w14:paraId="67200C81">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现状浓度µg/m</w:t>
                  </w:r>
                  <w:r>
                    <w:rPr>
                      <w:rFonts w:hint="default" w:ascii="Times New Roman" w:hAnsi="Times New Roman" w:eastAsia="宋体" w:cs="Times New Roman"/>
                      <w:b/>
                      <w:bCs/>
                      <w:color w:val="000000" w:themeColor="text1"/>
                      <w:highlight w:val="none"/>
                      <w:vertAlign w:val="superscript"/>
                      <w14:textFill>
                        <w14:solidFill>
                          <w14:schemeClr w14:val="tx1"/>
                        </w14:solidFill>
                      </w14:textFill>
                    </w:rPr>
                    <w:t>3</w:t>
                  </w:r>
                </w:p>
              </w:tc>
              <w:tc>
                <w:tcPr>
                  <w:tcW w:w="489" w:type="pct"/>
                  <w:vMerge w:val="restart"/>
                  <w:tcBorders>
                    <w:top w:val="single" w:color="auto" w:sz="4" w:space="0"/>
                    <w:left w:val="single" w:color="auto" w:sz="4" w:space="0"/>
                    <w:right w:val="single" w:color="auto" w:sz="4" w:space="0"/>
                  </w:tcBorders>
                  <w:noWrap w:val="0"/>
                  <w:vAlign w:val="center"/>
                </w:tcPr>
                <w:p w14:paraId="1A01E7CC">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评价标准µg/m</w:t>
                  </w:r>
                  <w:r>
                    <w:rPr>
                      <w:rFonts w:hint="default" w:ascii="Times New Roman" w:hAnsi="Times New Roman" w:eastAsia="宋体" w:cs="Times New Roman"/>
                      <w:b/>
                      <w:bCs/>
                      <w:color w:val="000000" w:themeColor="text1"/>
                      <w:highlight w:val="none"/>
                      <w:vertAlign w:val="superscript"/>
                      <w14:textFill>
                        <w14:solidFill>
                          <w14:schemeClr w14:val="tx1"/>
                        </w14:solidFill>
                      </w14:textFill>
                    </w:rPr>
                    <w:t>3</w:t>
                  </w:r>
                </w:p>
              </w:tc>
              <w:tc>
                <w:tcPr>
                  <w:tcW w:w="435" w:type="pct"/>
                  <w:vMerge w:val="restart"/>
                  <w:tcBorders>
                    <w:top w:val="single" w:color="auto" w:sz="4" w:space="0"/>
                    <w:left w:val="single" w:color="auto" w:sz="4" w:space="0"/>
                    <w:right w:val="single" w:color="auto" w:sz="4" w:space="0"/>
                  </w:tcBorders>
                  <w:noWrap w:val="0"/>
                  <w:vAlign w:val="center"/>
                </w:tcPr>
                <w:p w14:paraId="3A6CCC8B">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最大浓度占标率%</w:t>
                  </w:r>
                </w:p>
              </w:tc>
              <w:tc>
                <w:tcPr>
                  <w:tcW w:w="489" w:type="pct"/>
                  <w:vMerge w:val="restart"/>
                  <w:tcBorders>
                    <w:top w:val="single" w:color="auto" w:sz="4" w:space="0"/>
                    <w:left w:val="single" w:color="auto" w:sz="4" w:space="0"/>
                    <w:right w:val="single" w:color="auto" w:sz="4" w:space="0"/>
                  </w:tcBorders>
                  <w:noWrap w:val="0"/>
                  <w:vAlign w:val="center"/>
                </w:tcPr>
                <w:p w14:paraId="6D2F2FF2">
                  <w:pPr>
                    <w:pStyle w:val="78"/>
                    <w:shd w:val="clear"/>
                    <w:spacing w:line="240" w:lineRule="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超标频率%</w:t>
                  </w:r>
                </w:p>
              </w:tc>
              <w:tc>
                <w:tcPr>
                  <w:tcW w:w="404" w:type="pct"/>
                  <w:vMerge w:val="restart"/>
                  <w:tcBorders>
                    <w:top w:val="single" w:color="auto" w:sz="4" w:space="0"/>
                    <w:left w:val="single" w:color="auto" w:sz="4" w:space="0"/>
                    <w:right w:val="single" w:color="auto" w:sz="4" w:space="0"/>
                  </w:tcBorders>
                  <w:noWrap w:val="0"/>
                  <w:vAlign w:val="center"/>
                </w:tcPr>
                <w:p w14:paraId="0331EB0F">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达标情况</w:t>
                  </w:r>
                </w:p>
              </w:tc>
            </w:tr>
            <w:tr w14:paraId="28B4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05" w:type="pct"/>
                  <w:vMerge w:val="continue"/>
                  <w:tcBorders>
                    <w:left w:val="single" w:color="auto" w:sz="4" w:space="0"/>
                    <w:right w:val="single" w:color="auto" w:sz="4" w:space="0"/>
                  </w:tcBorders>
                  <w:noWrap w:val="0"/>
                  <w:vAlign w:val="center"/>
                </w:tcPr>
                <w:p w14:paraId="289CBF32">
                  <w:pPr>
                    <w:pStyle w:val="78"/>
                    <w:shd w:val="clear"/>
                    <w:spacing w:line="240" w:lineRule="auto"/>
                    <w:rPr>
                      <w:rFonts w:hint="default" w:ascii="Times New Roman" w:hAnsi="Times New Roman" w:cs="Times New Roman"/>
                      <w:color w:val="000000" w:themeColor="text1"/>
                      <w:highlight w:val="none"/>
                      <w14:textFill>
                        <w14:solidFill>
                          <w14:schemeClr w14:val="tx1"/>
                        </w14:solidFill>
                      </w14:textFill>
                    </w:rPr>
                  </w:pPr>
                </w:p>
              </w:tc>
              <w:tc>
                <w:tcPr>
                  <w:tcW w:w="472" w:type="pct"/>
                  <w:tcBorders>
                    <w:top w:val="single" w:color="auto" w:sz="4" w:space="0"/>
                    <w:left w:val="single" w:color="auto" w:sz="4" w:space="0"/>
                    <w:right w:val="single" w:color="auto" w:sz="4" w:space="0"/>
                  </w:tcBorders>
                  <w:noWrap w:val="0"/>
                  <w:vAlign w:val="center"/>
                </w:tcPr>
                <w:p w14:paraId="764DDBA1">
                  <w:pPr>
                    <w:pStyle w:val="78"/>
                    <w:shd w:val="clea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X</w:t>
                  </w:r>
                </w:p>
              </w:tc>
              <w:tc>
                <w:tcPr>
                  <w:tcW w:w="463" w:type="pct"/>
                  <w:tcBorders>
                    <w:top w:val="single" w:color="auto" w:sz="4" w:space="0"/>
                    <w:left w:val="single" w:color="auto" w:sz="4" w:space="0"/>
                    <w:right w:val="single" w:color="auto" w:sz="4" w:space="0"/>
                  </w:tcBorders>
                  <w:noWrap w:val="0"/>
                  <w:vAlign w:val="center"/>
                </w:tcPr>
                <w:p w14:paraId="6B2D7251">
                  <w:pPr>
                    <w:pStyle w:val="78"/>
                    <w:shd w:val="clea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Y</w:t>
                  </w:r>
                </w:p>
              </w:tc>
              <w:tc>
                <w:tcPr>
                  <w:tcW w:w="447" w:type="pct"/>
                  <w:vMerge w:val="continue"/>
                  <w:tcBorders>
                    <w:left w:val="single" w:color="auto" w:sz="4" w:space="0"/>
                    <w:right w:val="single" w:color="auto" w:sz="4" w:space="0"/>
                  </w:tcBorders>
                  <w:noWrap w:val="0"/>
                  <w:vAlign w:val="center"/>
                </w:tcPr>
                <w:p w14:paraId="1F690B76">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p>
              </w:tc>
              <w:tc>
                <w:tcPr>
                  <w:tcW w:w="1049" w:type="pct"/>
                  <w:vMerge w:val="continue"/>
                  <w:tcBorders>
                    <w:left w:val="single" w:color="auto" w:sz="4" w:space="0"/>
                    <w:right w:val="single" w:color="auto" w:sz="4" w:space="0"/>
                  </w:tcBorders>
                  <w:noWrap w:val="0"/>
                  <w:vAlign w:val="center"/>
                </w:tcPr>
                <w:p w14:paraId="286813CF">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p>
              </w:tc>
              <w:tc>
                <w:tcPr>
                  <w:tcW w:w="443" w:type="pct"/>
                  <w:vMerge w:val="continue"/>
                  <w:tcBorders>
                    <w:left w:val="single" w:color="auto" w:sz="4" w:space="0"/>
                    <w:right w:val="single" w:color="auto" w:sz="4" w:space="0"/>
                  </w:tcBorders>
                  <w:noWrap w:val="0"/>
                  <w:vAlign w:val="center"/>
                </w:tcPr>
                <w:p w14:paraId="42DCBEF9">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p>
              </w:tc>
              <w:tc>
                <w:tcPr>
                  <w:tcW w:w="489" w:type="pct"/>
                  <w:vMerge w:val="continue"/>
                  <w:tcBorders>
                    <w:left w:val="single" w:color="auto" w:sz="4" w:space="0"/>
                    <w:bottom w:val="single" w:color="auto" w:sz="4" w:space="0"/>
                    <w:right w:val="single" w:color="auto" w:sz="4" w:space="0"/>
                  </w:tcBorders>
                  <w:noWrap w:val="0"/>
                  <w:vAlign w:val="center"/>
                </w:tcPr>
                <w:p w14:paraId="077A127A">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p>
              </w:tc>
              <w:tc>
                <w:tcPr>
                  <w:tcW w:w="435" w:type="pct"/>
                  <w:vMerge w:val="continue"/>
                  <w:tcBorders>
                    <w:left w:val="single" w:color="auto" w:sz="4" w:space="0"/>
                    <w:bottom w:val="single" w:color="auto" w:sz="4" w:space="0"/>
                    <w:right w:val="single" w:color="auto" w:sz="4" w:space="0"/>
                  </w:tcBorders>
                  <w:noWrap w:val="0"/>
                  <w:vAlign w:val="center"/>
                </w:tcPr>
                <w:p w14:paraId="09CDDB9B">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p>
              </w:tc>
              <w:tc>
                <w:tcPr>
                  <w:tcW w:w="489" w:type="pct"/>
                  <w:vMerge w:val="continue"/>
                  <w:tcBorders>
                    <w:left w:val="single" w:color="auto" w:sz="4" w:space="0"/>
                    <w:bottom w:val="single" w:color="auto" w:sz="4" w:space="0"/>
                    <w:right w:val="single" w:color="auto" w:sz="4" w:space="0"/>
                  </w:tcBorders>
                  <w:noWrap w:val="0"/>
                  <w:vAlign w:val="center"/>
                </w:tcPr>
                <w:p w14:paraId="4580E3DA">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p>
              </w:tc>
              <w:tc>
                <w:tcPr>
                  <w:tcW w:w="404" w:type="pct"/>
                  <w:vMerge w:val="continue"/>
                  <w:tcBorders>
                    <w:left w:val="single" w:color="auto" w:sz="4" w:space="0"/>
                    <w:bottom w:val="single" w:color="auto" w:sz="4" w:space="0"/>
                    <w:right w:val="single" w:color="auto" w:sz="4" w:space="0"/>
                  </w:tcBorders>
                  <w:noWrap w:val="0"/>
                  <w:vAlign w:val="center"/>
                </w:tcPr>
                <w:p w14:paraId="64817588">
                  <w:pPr>
                    <w:pStyle w:val="78"/>
                    <w:shd w:val="clear"/>
                    <w:spacing w:line="240" w:lineRule="auto"/>
                    <w:rPr>
                      <w:rFonts w:hint="default" w:ascii="Times New Roman" w:hAnsi="Times New Roman" w:eastAsia="宋体" w:cs="Times New Roman"/>
                      <w:b/>
                      <w:bCs/>
                      <w:color w:val="000000" w:themeColor="text1"/>
                      <w:highlight w:val="none"/>
                      <w14:textFill>
                        <w14:solidFill>
                          <w14:schemeClr w14:val="tx1"/>
                        </w14:solidFill>
                      </w14:textFill>
                    </w:rPr>
                  </w:pPr>
                </w:p>
              </w:tc>
            </w:tr>
            <w:tr w14:paraId="77F2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5" w:type="pct"/>
                  <w:vMerge w:val="restart"/>
                  <w:tcBorders>
                    <w:top w:val="single" w:color="auto" w:sz="4" w:space="0"/>
                    <w:left w:val="single" w:color="auto" w:sz="4" w:space="0"/>
                    <w:right w:val="single" w:color="auto" w:sz="4" w:space="0"/>
                  </w:tcBorders>
                  <w:noWrap w:val="0"/>
                  <w:vAlign w:val="center"/>
                </w:tcPr>
                <w:p w14:paraId="7ED324E5">
                  <w:pPr>
                    <w:pStyle w:val="78"/>
                    <w:shd w:val="clear"/>
                    <w:spacing w:line="240" w:lineRule="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中山市</w:t>
                  </w:r>
                  <w:r>
                    <w:rPr>
                      <w:rFonts w:hint="eastAsia" w:hAnsi="Times New Roman" w:cs="Times New Roman"/>
                      <w:color w:val="000000" w:themeColor="text1"/>
                      <w:highlight w:val="none"/>
                      <w:lang w:val="en-US" w:eastAsia="zh-CN"/>
                      <w14:textFill>
                        <w14:solidFill>
                          <w14:schemeClr w14:val="tx1"/>
                        </w14:solidFill>
                      </w14:textFill>
                    </w:rPr>
                    <w:t>南朗</w:t>
                  </w:r>
                  <w:r>
                    <w:rPr>
                      <w:rFonts w:hint="default" w:ascii="Times New Roman" w:hAnsi="Times New Roman" w:eastAsia="宋体" w:cs="Times New Roman"/>
                      <w:color w:val="000000" w:themeColor="text1"/>
                      <w:highlight w:val="none"/>
                      <w14:textFill>
                        <w14:solidFill>
                          <w14:schemeClr w14:val="tx1"/>
                        </w14:solidFill>
                      </w14:textFill>
                    </w:rPr>
                    <w:t>监测站</w:t>
                  </w:r>
                </w:p>
              </w:tc>
              <w:tc>
                <w:tcPr>
                  <w:tcW w:w="472" w:type="pct"/>
                  <w:vMerge w:val="restart"/>
                  <w:tcBorders>
                    <w:top w:val="single" w:color="auto" w:sz="4" w:space="0"/>
                    <w:left w:val="single" w:color="auto" w:sz="4" w:space="0"/>
                    <w:right w:val="single" w:color="auto" w:sz="4" w:space="0"/>
                  </w:tcBorders>
                  <w:noWrap w:val="0"/>
                  <w:vAlign w:val="center"/>
                </w:tcPr>
                <w:p w14:paraId="6FEE3A7E">
                  <w:pPr>
                    <w:pStyle w:val="78"/>
                    <w:keepNext w:val="0"/>
                    <w:keepLines w:val="0"/>
                    <w:pageBreakBefore w:val="0"/>
                    <w:widowControl w:val="0"/>
                    <w:shd w:val="clear"/>
                    <w:kinsoku/>
                    <w:wordWrap/>
                    <w:overflowPunct w:val="0"/>
                    <w:topLinePunct w:val="0"/>
                    <w:autoSpaceDE w:val="0"/>
                    <w:autoSpaceDN w:val="0"/>
                    <w:bidi w:val="0"/>
                    <w:adjustRightInd/>
                    <w:snapToGrid/>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w:t>
                  </w:r>
                </w:p>
              </w:tc>
              <w:tc>
                <w:tcPr>
                  <w:tcW w:w="463" w:type="pct"/>
                  <w:vMerge w:val="restart"/>
                  <w:tcBorders>
                    <w:top w:val="single" w:color="auto" w:sz="4" w:space="0"/>
                    <w:left w:val="single" w:color="auto" w:sz="4" w:space="0"/>
                    <w:right w:val="single" w:color="auto" w:sz="4" w:space="0"/>
                  </w:tcBorders>
                  <w:noWrap w:val="0"/>
                  <w:vAlign w:val="center"/>
                </w:tcPr>
                <w:p w14:paraId="0CD03288">
                  <w:pPr>
                    <w:pStyle w:val="78"/>
                    <w:keepNext w:val="0"/>
                    <w:keepLines w:val="0"/>
                    <w:pageBreakBefore w:val="0"/>
                    <w:widowControl w:val="0"/>
                    <w:shd w:val="clear"/>
                    <w:kinsoku/>
                    <w:wordWrap/>
                    <w:overflowPunct w:val="0"/>
                    <w:topLinePunct w:val="0"/>
                    <w:autoSpaceDE/>
                    <w:autoSpaceDN/>
                    <w:bidi w:val="0"/>
                    <w:adjustRightInd/>
                    <w:snapToGrid/>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hAnsi="Times New Roman" w:cs="Times New Roman"/>
                      <w:color w:val="000000" w:themeColor="text1"/>
                      <w:highlight w:val="none"/>
                      <w:lang w:val="en-US" w:eastAsia="zh-CN"/>
                      <w14:textFill>
                        <w14:solidFill>
                          <w14:schemeClr w14:val="tx1"/>
                        </w14:solidFill>
                      </w14:textFill>
                    </w:rPr>
                    <w:t>/</w:t>
                  </w:r>
                </w:p>
              </w:tc>
              <w:tc>
                <w:tcPr>
                  <w:tcW w:w="754" w:type="dxa"/>
                  <w:vMerge w:val="restart"/>
                  <w:tcBorders>
                    <w:top w:val="single" w:color="auto" w:sz="4" w:space="0"/>
                    <w:left w:val="single" w:color="auto" w:sz="4" w:space="0"/>
                    <w:right w:val="single" w:color="auto" w:sz="4" w:space="0"/>
                  </w:tcBorders>
                  <w:noWrap w:val="0"/>
                  <w:vAlign w:val="center"/>
                </w:tcPr>
                <w:p w14:paraId="7FF01FEE">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w:t>
                  </w:r>
                </w:p>
              </w:tc>
              <w:tc>
                <w:tcPr>
                  <w:tcW w:w="1770" w:type="dxa"/>
                  <w:tcBorders>
                    <w:top w:val="single" w:color="auto" w:sz="4" w:space="0"/>
                    <w:left w:val="single" w:color="auto" w:sz="4" w:space="0"/>
                    <w:right w:val="single" w:color="auto" w:sz="4" w:space="0"/>
                  </w:tcBorders>
                  <w:noWrap w:val="0"/>
                  <w:vAlign w:val="center"/>
                </w:tcPr>
                <w:p w14:paraId="6EBB7C40">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年平均质量浓度</w:t>
                  </w:r>
                </w:p>
              </w:tc>
              <w:tc>
                <w:tcPr>
                  <w:tcW w:w="747" w:type="dxa"/>
                  <w:tcBorders>
                    <w:top w:val="single" w:color="auto" w:sz="4" w:space="0"/>
                    <w:left w:val="single" w:color="auto" w:sz="4" w:space="0"/>
                    <w:right w:val="single" w:color="auto" w:sz="4" w:space="0"/>
                  </w:tcBorders>
                  <w:noWrap w:val="0"/>
                  <w:vAlign w:val="center"/>
                </w:tcPr>
                <w:p w14:paraId="22A3D56C">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8.64</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008DFB14">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12CB8C66">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390CEA52">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2" w:type="dxa"/>
                  <w:vMerge w:val="restart"/>
                  <w:tcBorders>
                    <w:top w:val="single" w:color="auto" w:sz="4" w:space="0"/>
                    <w:left w:val="single" w:color="auto" w:sz="4" w:space="0"/>
                    <w:bottom w:val="single" w:color="auto" w:sz="4" w:space="0"/>
                    <w:right w:val="single" w:color="auto" w:sz="4" w:space="0"/>
                  </w:tcBorders>
                  <w:noWrap w:val="0"/>
                  <w:vAlign w:val="center"/>
                </w:tcPr>
                <w:p w14:paraId="3B5C855E">
                  <w:pPr>
                    <w:keepNext w:val="0"/>
                    <w:keepLines w:val="0"/>
                    <w:widowControl/>
                    <w:suppressLineNumbers w:val="0"/>
                    <w:jc w:val="center"/>
                    <w:textAlignment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达标</w:t>
                  </w:r>
                </w:p>
              </w:tc>
            </w:tr>
            <w:tr w14:paraId="0EF3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5" w:type="pct"/>
                  <w:vMerge w:val="continue"/>
                  <w:tcBorders>
                    <w:left w:val="single" w:color="auto" w:sz="4" w:space="0"/>
                    <w:right w:val="single" w:color="auto" w:sz="4" w:space="0"/>
                  </w:tcBorders>
                  <w:noWrap w:val="0"/>
                  <w:vAlign w:val="center"/>
                </w:tcPr>
                <w:p w14:paraId="173F2029">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72" w:type="pct"/>
                  <w:vMerge w:val="continue"/>
                  <w:tcBorders>
                    <w:left w:val="single" w:color="auto" w:sz="4" w:space="0"/>
                    <w:right w:val="single" w:color="auto" w:sz="4" w:space="0"/>
                  </w:tcBorders>
                  <w:noWrap w:val="0"/>
                  <w:vAlign w:val="center"/>
                </w:tcPr>
                <w:p w14:paraId="76D25670">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63" w:type="pct"/>
                  <w:vMerge w:val="continue"/>
                  <w:tcBorders>
                    <w:left w:val="single" w:color="auto" w:sz="4" w:space="0"/>
                    <w:right w:val="single" w:color="auto" w:sz="4" w:space="0"/>
                  </w:tcBorders>
                  <w:noWrap w:val="0"/>
                  <w:vAlign w:val="center"/>
                </w:tcPr>
                <w:p w14:paraId="3ECE7FAA">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754" w:type="dxa"/>
                  <w:vMerge w:val="continue"/>
                  <w:tcBorders>
                    <w:left w:val="single" w:color="auto" w:sz="4" w:space="0"/>
                    <w:right w:val="single" w:color="auto" w:sz="4" w:space="0"/>
                  </w:tcBorders>
                  <w:noWrap w:val="0"/>
                  <w:vAlign w:val="center"/>
                </w:tcPr>
                <w:p w14:paraId="0AA81D94">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1770" w:type="dxa"/>
                  <w:tcBorders>
                    <w:left w:val="single" w:color="auto" w:sz="4" w:space="0"/>
                    <w:right w:val="single" w:color="auto" w:sz="4" w:space="0"/>
                  </w:tcBorders>
                  <w:noWrap w:val="0"/>
                  <w:vAlign w:val="center"/>
                </w:tcPr>
                <w:p w14:paraId="31125CF9">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小时平均第</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百分位数</w:t>
                  </w:r>
                </w:p>
              </w:tc>
              <w:tc>
                <w:tcPr>
                  <w:tcW w:w="747" w:type="dxa"/>
                  <w:tcBorders>
                    <w:left w:val="single" w:color="auto" w:sz="4" w:space="0"/>
                    <w:right w:val="single" w:color="auto" w:sz="4" w:space="0"/>
                  </w:tcBorders>
                  <w:noWrap w:val="0"/>
                  <w:vAlign w:val="center"/>
                </w:tcPr>
                <w:p w14:paraId="027CAF9B">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66F0D491">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7C519675">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512AC7B7">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82" w:type="dxa"/>
                  <w:vMerge w:val="continue"/>
                  <w:tcBorders>
                    <w:top w:val="single" w:color="auto" w:sz="4" w:space="0"/>
                    <w:left w:val="single" w:color="auto" w:sz="4" w:space="0"/>
                    <w:bottom w:val="single" w:color="auto" w:sz="4" w:space="0"/>
                    <w:right w:val="single" w:color="auto" w:sz="4" w:space="0"/>
                  </w:tcBorders>
                  <w:noWrap w:val="0"/>
                  <w:vAlign w:val="center"/>
                </w:tcPr>
                <w:p w14:paraId="286CEA19">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0B82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5" w:type="pct"/>
                  <w:vMerge w:val="continue"/>
                  <w:tcBorders>
                    <w:left w:val="single" w:color="auto" w:sz="4" w:space="0"/>
                    <w:right w:val="single" w:color="auto" w:sz="4" w:space="0"/>
                  </w:tcBorders>
                  <w:noWrap w:val="0"/>
                  <w:vAlign w:val="center"/>
                </w:tcPr>
                <w:p w14:paraId="411A9E0F">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72" w:type="pct"/>
                  <w:vMerge w:val="continue"/>
                  <w:tcBorders>
                    <w:left w:val="single" w:color="auto" w:sz="4" w:space="0"/>
                    <w:right w:val="single" w:color="auto" w:sz="4" w:space="0"/>
                  </w:tcBorders>
                  <w:noWrap w:val="0"/>
                  <w:vAlign w:val="center"/>
                </w:tcPr>
                <w:p w14:paraId="10FE7F26">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63" w:type="pct"/>
                  <w:vMerge w:val="continue"/>
                  <w:tcBorders>
                    <w:left w:val="single" w:color="auto" w:sz="4" w:space="0"/>
                    <w:right w:val="single" w:color="auto" w:sz="4" w:space="0"/>
                  </w:tcBorders>
                  <w:noWrap w:val="0"/>
                  <w:vAlign w:val="center"/>
                </w:tcPr>
                <w:p w14:paraId="129D16D8">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754" w:type="dxa"/>
                  <w:vMerge w:val="restart"/>
                  <w:tcBorders>
                    <w:left w:val="single" w:color="auto" w:sz="4" w:space="0"/>
                    <w:right w:val="single" w:color="auto" w:sz="4" w:space="0"/>
                  </w:tcBorders>
                  <w:noWrap w:val="0"/>
                  <w:vAlign w:val="center"/>
                </w:tcPr>
                <w:p w14:paraId="55AA033B">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w:t>
                  </w:r>
                </w:p>
              </w:tc>
              <w:tc>
                <w:tcPr>
                  <w:tcW w:w="1770" w:type="dxa"/>
                  <w:tcBorders>
                    <w:left w:val="single" w:color="auto" w:sz="4" w:space="0"/>
                    <w:right w:val="single" w:color="auto" w:sz="4" w:space="0"/>
                  </w:tcBorders>
                  <w:noWrap w:val="0"/>
                  <w:vAlign w:val="center"/>
                </w:tcPr>
                <w:p w14:paraId="1426F1AB">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年平均质量浓度</w:t>
                  </w:r>
                </w:p>
              </w:tc>
              <w:tc>
                <w:tcPr>
                  <w:tcW w:w="747" w:type="dxa"/>
                  <w:tcBorders>
                    <w:left w:val="single" w:color="auto" w:sz="4" w:space="0"/>
                    <w:right w:val="single" w:color="auto" w:sz="4" w:space="0"/>
                  </w:tcBorders>
                  <w:noWrap w:val="0"/>
                  <w:vAlign w:val="center"/>
                </w:tcPr>
                <w:p w14:paraId="177CCD90">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17.94</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27EFAB5F">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17373598">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1E4941FC">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2" w:type="dxa"/>
                  <w:vMerge w:val="restart"/>
                  <w:tcBorders>
                    <w:top w:val="single" w:color="auto" w:sz="4" w:space="0"/>
                    <w:left w:val="single" w:color="auto" w:sz="4" w:space="0"/>
                    <w:bottom w:val="single" w:color="auto" w:sz="4" w:space="0"/>
                    <w:right w:val="single" w:color="auto" w:sz="4" w:space="0"/>
                  </w:tcBorders>
                  <w:noWrap w:val="0"/>
                  <w:vAlign w:val="center"/>
                </w:tcPr>
                <w:p w14:paraId="4A26D869">
                  <w:pPr>
                    <w:keepNext w:val="0"/>
                    <w:keepLines w:val="0"/>
                    <w:widowControl/>
                    <w:suppressLineNumbers w:val="0"/>
                    <w:jc w:val="center"/>
                    <w:textAlignment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达标</w:t>
                  </w:r>
                </w:p>
              </w:tc>
            </w:tr>
            <w:tr w14:paraId="1965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05" w:type="pct"/>
                  <w:vMerge w:val="continue"/>
                  <w:tcBorders>
                    <w:left w:val="single" w:color="auto" w:sz="4" w:space="0"/>
                    <w:right w:val="single" w:color="auto" w:sz="4" w:space="0"/>
                  </w:tcBorders>
                  <w:noWrap w:val="0"/>
                  <w:vAlign w:val="center"/>
                </w:tcPr>
                <w:p w14:paraId="306FF4A5">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72" w:type="pct"/>
                  <w:vMerge w:val="continue"/>
                  <w:tcBorders>
                    <w:left w:val="single" w:color="auto" w:sz="4" w:space="0"/>
                    <w:right w:val="single" w:color="auto" w:sz="4" w:space="0"/>
                  </w:tcBorders>
                  <w:noWrap w:val="0"/>
                  <w:vAlign w:val="center"/>
                </w:tcPr>
                <w:p w14:paraId="23E79074">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63" w:type="pct"/>
                  <w:vMerge w:val="continue"/>
                  <w:tcBorders>
                    <w:left w:val="single" w:color="auto" w:sz="4" w:space="0"/>
                    <w:right w:val="single" w:color="auto" w:sz="4" w:space="0"/>
                  </w:tcBorders>
                  <w:noWrap w:val="0"/>
                  <w:vAlign w:val="center"/>
                </w:tcPr>
                <w:p w14:paraId="3B8E6B2E">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754" w:type="dxa"/>
                  <w:vMerge w:val="continue"/>
                  <w:tcBorders>
                    <w:left w:val="single" w:color="auto" w:sz="4" w:space="0"/>
                    <w:right w:val="single" w:color="auto" w:sz="4" w:space="0"/>
                  </w:tcBorders>
                  <w:noWrap w:val="0"/>
                  <w:vAlign w:val="center"/>
                </w:tcPr>
                <w:p w14:paraId="58546C40">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1770" w:type="dxa"/>
                  <w:tcBorders>
                    <w:left w:val="single" w:color="auto" w:sz="4" w:space="0"/>
                    <w:right w:val="single" w:color="auto" w:sz="4" w:space="0"/>
                  </w:tcBorders>
                  <w:noWrap w:val="0"/>
                  <w:vAlign w:val="center"/>
                </w:tcPr>
                <w:p w14:paraId="285FB233">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小时平均第</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百分位数</w:t>
                  </w:r>
                </w:p>
              </w:tc>
              <w:tc>
                <w:tcPr>
                  <w:tcW w:w="747" w:type="dxa"/>
                  <w:tcBorders>
                    <w:left w:val="single" w:color="auto" w:sz="4" w:space="0"/>
                    <w:right w:val="single" w:color="auto" w:sz="4" w:space="0"/>
                  </w:tcBorders>
                  <w:noWrap w:val="0"/>
                  <w:vAlign w:val="center"/>
                </w:tcPr>
                <w:p w14:paraId="22B2C730">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7339A34B">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52E1B6AB">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67.5</w:t>
                  </w:r>
                </w:p>
              </w:tc>
              <w:tc>
                <w:tcPr>
                  <w:tcW w:w="825" w:type="dxa"/>
                  <w:tcBorders>
                    <w:top w:val="single" w:color="auto" w:sz="4" w:space="0"/>
                    <w:left w:val="single" w:color="auto" w:sz="4" w:space="0"/>
                    <w:right w:val="single" w:color="auto" w:sz="4" w:space="0"/>
                  </w:tcBorders>
                  <w:noWrap w:val="0"/>
                  <w:vAlign w:val="center"/>
                </w:tcPr>
                <w:p w14:paraId="455F59F2">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82" w:type="dxa"/>
                  <w:vMerge w:val="continue"/>
                  <w:tcBorders>
                    <w:top w:val="single" w:color="auto" w:sz="4" w:space="0"/>
                    <w:left w:val="single" w:color="auto" w:sz="4" w:space="0"/>
                    <w:right w:val="single" w:color="auto" w:sz="4" w:space="0"/>
                  </w:tcBorders>
                  <w:noWrap w:val="0"/>
                  <w:vAlign w:val="center"/>
                </w:tcPr>
                <w:p w14:paraId="69B3E0D0">
                  <w:pPr>
                    <w:jc w:val="center"/>
                    <w:rPr>
                      <w:rFonts w:hint="default" w:ascii="Times New Roman" w:hAnsi="Times New Roman" w:eastAsia="宋体" w:cs="Times New Roman"/>
                      <w:color w:val="000000" w:themeColor="text1"/>
                      <w:highlight w:val="none"/>
                      <w14:textFill>
                        <w14:solidFill>
                          <w14:schemeClr w14:val="tx1"/>
                        </w14:solidFill>
                      </w14:textFill>
                    </w:rPr>
                  </w:pPr>
                </w:p>
              </w:tc>
            </w:tr>
            <w:tr w14:paraId="7A47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5" w:type="pct"/>
                  <w:vMerge w:val="continue"/>
                  <w:tcBorders>
                    <w:left w:val="single" w:color="auto" w:sz="4" w:space="0"/>
                    <w:right w:val="single" w:color="auto" w:sz="4" w:space="0"/>
                  </w:tcBorders>
                  <w:noWrap w:val="0"/>
                  <w:vAlign w:val="center"/>
                </w:tcPr>
                <w:p w14:paraId="6A5D3A5F">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72" w:type="pct"/>
                  <w:vMerge w:val="continue"/>
                  <w:tcBorders>
                    <w:left w:val="single" w:color="auto" w:sz="4" w:space="0"/>
                    <w:right w:val="single" w:color="auto" w:sz="4" w:space="0"/>
                  </w:tcBorders>
                  <w:noWrap w:val="0"/>
                  <w:vAlign w:val="center"/>
                </w:tcPr>
                <w:p w14:paraId="1BDB136F">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63" w:type="pct"/>
                  <w:vMerge w:val="continue"/>
                  <w:tcBorders>
                    <w:left w:val="single" w:color="auto" w:sz="4" w:space="0"/>
                    <w:right w:val="single" w:color="auto" w:sz="4" w:space="0"/>
                  </w:tcBorders>
                  <w:noWrap w:val="0"/>
                  <w:vAlign w:val="center"/>
                </w:tcPr>
                <w:p w14:paraId="10224A92">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754" w:type="dxa"/>
                  <w:vMerge w:val="restart"/>
                  <w:tcBorders>
                    <w:left w:val="single" w:color="auto" w:sz="4" w:space="0"/>
                    <w:right w:val="single" w:color="auto" w:sz="4" w:space="0"/>
                  </w:tcBorders>
                  <w:noWrap w:val="0"/>
                  <w:vAlign w:val="center"/>
                </w:tcPr>
                <w:p w14:paraId="46DFF1EB">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PM</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10</w:t>
                  </w:r>
                </w:p>
              </w:tc>
              <w:tc>
                <w:tcPr>
                  <w:tcW w:w="1770" w:type="dxa"/>
                  <w:tcBorders>
                    <w:left w:val="single" w:color="auto" w:sz="4" w:space="0"/>
                    <w:right w:val="single" w:color="auto" w:sz="4" w:space="0"/>
                  </w:tcBorders>
                  <w:noWrap w:val="0"/>
                  <w:vAlign w:val="center"/>
                </w:tcPr>
                <w:p w14:paraId="44A62F4B">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年平均质量浓度</w:t>
                  </w:r>
                </w:p>
              </w:tc>
              <w:tc>
                <w:tcPr>
                  <w:tcW w:w="747" w:type="dxa"/>
                  <w:tcBorders>
                    <w:left w:val="single" w:color="auto" w:sz="4" w:space="0"/>
                    <w:right w:val="single" w:color="auto" w:sz="4" w:space="0"/>
                  </w:tcBorders>
                  <w:noWrap w:val="0"/>
                  <w:vAlign w:val="center"/>
                </w:tcPr>
                <w:p w14:paraId="3DF44076">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34.44</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12E1C6C7">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0280D20F">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25" w:type="dxa"/>
                  <w:tcBorders>
                    <w:top w:val="single" w:color="auto" w:sz="4" w:space="0"/>
                    <w:left w:val="single" w:color="auto" w:sz="4" w:space="0"/>
                    <w:right w:val="single" w:color="auto" w:sz="4" w:space="0"/>
                  </w:tcBorders>
                  <w:noWrap w:val="0"/>
                  <w:vAlign w:val="center"/>
                </w:tcPr>
                <w:p w14:paraId="609C95AC">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2" w:type="dxa"/>
                  <w:vMerge w:val="restart"/>
                  <w:tcBorders>
                    <w:top w:val="single" w:color="auto" w:sz="4" w:space="0"/>
                    <w:left w:val="single" w:color="auto" w:sz="4" w:space="0"/>
                    <w:right w:val="single" w:color="auto" w:sz="4" w:space="0"/>
                  </w:tcBorders>
                  <w:noWrap w:val="0"/>
                  <w:vAlign w:val="center"/>
                </w:tcPr>
                <w:p w14:paraId="349F54A6">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达标</w:t>
                  </w:r>
                </w:p>
              </w:tc>
            </w:tr>
            <w:tr w14:paraId="187A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5" w:type="pct"/>
                  <w:vMerge w:val="continue"/>
                  <w:tcBorders>
                    <w:left w:val="single" w:color="auto" w:sz="4" w:space="0"/>
                    <w:right w:val="single" w:color="auto" w:sz="4" w:space="0"/>
                  </w:tcBorders>
                  <w:noWrap w:val="0"/>
                  <w:vAlign w:val="center"/>
                </w:tcPr>
                <w:p w14:paraId="6B16F88F">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72" w:type="pct"/>
                  <w:vMerge w:val="continue"/>
                  <w:tcBorders>
                    <w:left w:val="single" w:color="auto" w:sz="4" w:space="0"/>
                    <w:right w:val="single" w:color="auto" w:sz="4" w:space="0"/>
                  </w:tcBorders>
                  <w:noWrap w:val="0"/>
                  <w:vAlign w:val="center"/>
                </w:tcPr>
                <w:p w14:paraId="29282064">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63" w:type="pct"/>
                  <w:vMerge w:val="continue"/>
                  <w:tcBorders>
                    <w:left w:val="single" w:color="auto" w:sz="4" w:space="0"/>
                    <w:right w:val="single" w:color="auto" w:sz="4" w:space="0"/>
                  </w:tcBorders>
                  <w:noWrap w:val="0"/>
                  <w:vAlign w:val="center"/>
                </w:tcPr>
                <w:p w14:paraId="33B73760">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754" w:type="dxa"/>
                  <w:vMerge w:val="continue"/>
                  <w:tcBorders>
                    <w:left w:val="single" w:color="auto" w:sz="4" w:space="0"/>
                    <w:right w:val="single" w:color="auto" w:sz="4" w:space="0"/>
                  </w:tcBorders>
                  <w:noWrap w:val="0"/>
                  <w:vAlign w:val="center"/>
                </w:tcPr>
                <w:p w14:paraId="4C292202">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1770" w:type="dxa"/>
                  <w:tcBorders>
                    <w:left w:val="single" w:color="auto" w:sz="4" w:space="0"/>
                    <w:right w:val="single" w:color="auto" w:sz="4" w:space="0"/>
                  </w:tcBorders>
                  <w:noWrap w:val="0"/>
                  <w:vAlign w:val="center"/>
                </w:tcPr>
                <w:p w14:paraId="36E7C042">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小时平均第</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百分位数</w:t>
                  </w:r>
                </w:p>
              </w:tc>
              <w:tc>
                <w:tcPr>
                  <w:tcW w:w="747" w:type="dxa"/>
                  <w:tcBorders>
                    <w:left w:val="single" w:color="auto" w:sz="4" w:space="0"/>
                    <w:right w:val="single" w:color="auto" w:sz="4" w:space="0"/>
                  </w:tcBorders>
                  <w:noWrap w:val="0"/>
                  <w:vAlign w:val="center"/>
                </w:tcPr>
                <w:p w14:paraId="647C54F9">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50C259DC">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38229DD1">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310</w:t>
                  </w:r>
                </w:p>
              </w:tc>
              <w:tc>
                <w:tcPr>
                  <w:tcW w:w="825" w:type="dxa"/>
                  <w:tcBorders>
                    <w:top w:val="single" w:color="auto" w:sz="4" w:space="0"/>
                    <w:left w:val="single" w:color="auto" w:sz="4" w:space="0"/>
                    <w:right w:val="single" w:color="auto" w:sz="4" w:space="0"/>
                  </w:tcBorders>
                  <w:noWrap w:val="0"/>
                  <w:vAlign w:val="center"/>
                </w:tcPr>
                <w:p w14:paraId="7F237D8A">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w:t>
                  </w:r>
                </w:p>
              </w:tc>
              <w:tc>
                <w:tcPr>
                  <w:tcW w:w="682" w:type="dxa"/>
                  <w:vMerge w:val="continue"/>
                  <w:tcBorders>
                    <w:top w:val="single" w:color="auto" w:sz="4" w:space="0"/>
                    <w:left w:val="single" w:color="auto" w:sz="4" w:space="0"/>
                    <w:right w:val="single" w:color="auto" w:sz="4" w:space="0"/>
                  </w:tcBorders>
                  <w:noWrap w:val="0"/>
                  <w:vAlign w:val="center"/>
                </w:tcPr>
                <w:p w14:paraId="6E18CB34">
                  <w:pPr>
                    <w:jc w:val="center"/>
                    <w:rPr>
                      <w:rFonts w:hint="default" w:ascii="Times New Roman" w:hAnsi="Times New Roman" w:eastAsia="宋体" w:cs="Times New Roman"/>
                      <w:color w:val="000000" w:themeColor="text1"/>
                      <w:highlight w:val="none"/>
                      <w14:textFill>
                        <w14:solidFill>
                          <w14:schemeClr w14:val="tx1"/>
                        </w14:solidFill>
                      </w14:textFill>
                    </w:rPr>
                  </w:pPr>
                </w:p>
              </w:tc>
            </w:tr>
            <w:tr w14:paraId="7AFDF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5" w:type="pct"/>
                  <w:vMerge w:val="continue"/>
                  <w:tcBorders>
                    <w:left w:val="single" w:color="auto" w:sz="4" w:space="0"/>
                    <w:right w:val="single" w:color="auto" w:sz="4" w:space="0"/>
                  </w:tcBorders>
                  <w:noWrap w:val="0"/>
                  <w:vAlign w:val="center"/>
                </w:tcPr>
                <w:p w14:paraId="651AA2DB">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72" w:type="pct"/>
                  <w:vMerge w:val="continue"/>
                  <w:tcBorders>
                    <w:left w:val="single" w:color="auto" w:sz="4" w:space="0"/>
                    <w:right w:val="single" w:color="auto" w:sz="4" w:space="0"/>
                  </w:tcBorders>
                  <w:noWrap w:val="0"/>
                  <w:vAlign w:val="center"/>
                </w:tcPr>
                <w:p w14:paraId="43DF7793">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63" w:type="pct"/>
                  <w:vMerge w:val="continue"/>
                  <w:tcBorders>
                    <w:left w:val="single" w:color="auto" w:sz="4" w:space="0"/>
                    <w:right w:val="single" w:color="auto" w:sz="4" w:space="0"/>
                  </w:tcBorders>
                  <w:noWrap w:val="0"/>
                  <w:vAlign w:val="center"/>
                </w:tcPr>
                <w:p w14:paraId="3C74AB9F">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754" w:type="dxa"/>
                  <w:vMerge w:val="restart"/>
                  <w:tcBorders>
                    <w:left w:val="single" w:color="auto" w:sz="4" w:space="0"/>
                    <w:right w:val="single" w:color="auto" w:sz="4" w:space="0"/>
                  </w:tcBorders>
                  <w:noWrap w:val="0"/>
                  <w:vAlign w:val="center"/>
                </w:tcPr>
                <w:p w14:paraId="2D9F58B8">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PM</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2.5</w:t>
                  </w:r>
                </w:p>
              </w:tc>
              <w:tc>
                <w:tcPr>
                  <w:tcW w:w="1770" w:type="dxa"/>
                  <w:tcBorders>
                    <w:left w:val="single" w:color="auto" w:sz="4" w:space="0"/>
                    <w:right w:val="single" w:color="auto" w:sz="4" w:space="0"/>
                  </w:tcBorders>
                  <w:noWrap w:val="0"/>
                  <w:vAlign w:val="center"/>
                </w:tcPr>
                <w:p w14:paraId="4E71861E">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年平均质量浓度</w:t>
                  </w:r>
                </w:p>
              </w:tc>
              <w:tc>
                <w:tcPr>
                  <w:tcW w:w="747" w:type="dxa"/>
                  <w:tcBorders>
                    <w:left w:val="single" w:color="auto" w:sz="4" w:space="0"/>
                    <w:right w:val="single" w:color="auto" w:sz="4" w:space="0"/>
                  </w:tcBorders>
                  <w:noWrap w:val="0"/>
                  <w:vAlign w:val="center"/>
                </w:tcPr>
                <w:p w14:paraId="54B15604">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21.72</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6CD8DF21">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0DF159B5">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25" w:type="dxa"/>
                  <w:tcBorders>
                    <w:top w:val="single" w:color="auto" w:sz="4" w:space="0"/>
                    <w:left w:val="single" w:color="auto" w:sz="4" w:space="0"/>
                    <w:right w:val="single" w:color="auto" w:sz="4" w:space="0"/>
                  </w:tcBorders>
                  <w:noWrap w:val="0"/>
                  <w:vAlign w:val="center"/>
                </w:tcPr>
                <w:p w14:paraId="49498B7D">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2" w:type="dxa"/>
                  <w:vMerge w:val="restart"/>
                  <w:tcBorders>
                    <w:top w:val="single" w:color="auto" w:sz="4" w:space="0"/>
                    <w:left w:val="single" w:color="auto" w:sz="4" w:space="0"/>
                    <w:right w:val="single" w:color="auto" w:sz="4" w:space="0"/>
                  </w:tcBorders>
                  <w:noWrap w:val="0"/>
                  <w:vAlign w:val="center"/>
                </w:tcPr>
                <w:p w14:paraId="21A8555A">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达标</w:t>
                  </w:r>
                </w:p>
              </w:tc>
            </w:tr>
            <w:tr w14:paraId="42C57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5" w:type="pct"/>
                  <w:vMerge w:val="continue"/>
                  <w:tcBorders>
                    <w:left w:val="single" w:color="auto" w:sz="4" w:space="0"/>
                    <w:right w:val="single" w:color="auto" w:sz="4" w:space="0"/>
                  </w:tcBorders>
                  <w:noWrap w:val="0"/>
                  <w:vAlign w:val="center"/>
                </w:tcPr>
                <w:p w14:paraId="6B6406EA">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72" w:type="pct"/>
                  <w:vMerge w:val="continue"/>
                  <w:tcBorders>
                    <w:left w:val="single" w:color="auto" w:sz="4" w:space="0"/>
                    <w:right w:val="single" w:color="auto" w:sz="4" w:space="0"/>
                  </w:tcBorders>
                  <w:noWrap w:val="0"/>
                  <w:vAlign w:val="center"/>
                </w:tcPr>
                <w:p w14:paraId="4B494D55">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63" w:type="pct"/>
                  <w:vMerge w:val="continue"/>
                  <w:tcBorders>
                    <w:left w:val="single" w:color="auto" w:sz="4" w:space="0"/>
                    <w:right w:val="single" w:color="auto" w:sz="4" w:space="0"/>
                  </w:tcBorders>
                  <w:noWrap w:val="0"/>
                  <w:vAlign w:val="center"/>
                </w:tcPr>
                <w:p w14:paraId="1EE3259A">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754" w:type="dxa"/>
                  <w:vMerge w:val="continue"/>
                  <w:tcBorders>
                    <w:left w:val="single" w:color="auto" w:sz="4" w:space="0"/>
                    <w:right w:val="single" w:color="auto" w:sz="4" w:space="0"/>
                  </w:tcBorders>
                  <w:noWrap w:val="0"/>
                  <w:vAlign w:val="center"/>
                </w:tcPr>
                <w:p w14:paraId="55F20CB8">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1770" w:type="dxa"/>
                  <w:tcBorders>
                    <w:left w:val="single" w:color="auto" w:sz="4" w:space="0"/>
                    <w:right w:val="single" w:color="auto" w:sz="4" w:space="0"/>
                  </w:tcBorders>
                  <w:noWrap w:val="0"/>
                  <w:vAlign w:val="center"/>
                </w:tcPr>
                <w:p w14:paraId="47204639">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小时平均第</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百分位数</w:t>
                  </w:r>
                </w:p>
              </w:tc>
              <w:tc>
                <w:tcPr>
                  <w:tcW w:w="747" w:type="dxa"/>
                  <w:tcBorders>
                    <w:left w:val="single" w:color="auto" w:sz="4" w:space="0"/>
                    <w:right w:val="single" w:color="auto" w:sz="4" w:space="0"/>
                  </w:tcBorders>
                  <w:noWrap w:val="0"/>
                  <w:vAlign w:val="center"/>
                </w:tcPr>
                <w:p w14:paraId="5F165CC0">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10E98C89">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4F05E3F8">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148.33 </w:t>
                  </w:r>
                </w:p>
              </w:tc>
              <w:tc>
                <w:tcPr>
                  <w:tcW w:w="825" w:type="dxa"/>
                  <w:tcBorders>
                    <w:top w:val="single" w:color="auto" w:sz="4" w:space="0"/>
                    <w:left w:val="single" w:color="auto" w:sz="4" w:space="0"/>
                    <w:right w:val="single" w:color="auto" w:sz="4" w:space="0"/>
                  </w:tcBorders>
                  <w:noWrap w:val="0"/>
                  <w:vAlign w:val="center"/>
                </w:tcPr>
                <w:p w14:paraId="6F66D22B">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w:t>
                  </w:r>
                </w:p>
              </w:tc>
              <w:tc>
                <w:tcPr>
                  <w:tcW w:w="682" w:type="dxa"/>
                  <w:vMerge w:val="continue"/>
                  <w:tcBorders>
                    <w:top w:val="single" w:color="auto" w:sz="4" w:space="0"/>
                    <w:left w:val="single" w:color="auto" w:sz="4" w:space="0"/>
                    <w:right w:val="single" w:color="auto" w:sz="4" w:space="0"/>
                  </w:tcBorders>
                  <w:noWrap w:val="0"/>
                  <w:vAlign w:val="center"/>
                </w:tcPr>
                <w:p w14:paraId="477A77B9">
                  <w:pPr>
                    <w:jc w:val="center"/>
                    <w:rPr>
                      <w:rFonts w:hint="default" w:ascii="Times New Roman" w:hAnsi="Times New Roman" w:eastAsia="宋体" w:cs="Times New Roman"/>
                      <w:color w:val="000000" w:themeColor="text1"/>
                      <w:highlight w:val="none"/>
                      <w14:textFill>
                        <w14:solidFill>
                          <w14:schemeClr w14:val="tx1"/>
                        </w14:solidFill>
                      </w14:textFill>
                    </w:rPr>
                  </w:pPr>
                </w:p>
              </w:tc>
            </w:tr>
            <w:tr w14:paraId="3F5A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5" w:type="pct"/>
                  <w:vMerge w:val="continue"/>
                  <w:tcBorders>
                    <w:left w:val="single" w:color="auto" w:sz="4" w:space="0"/>
                    <w:right w:val="single" w:color="auto" w:sz="4" w:space="0"/>
                  </w:tcBorders>
                  <w:noWrap w:val="0"/>
                  <w:vAlign w:val="center"/>
                </w:tcPr>
                <w:p w14:paraId="5954A0D9">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72" w:type="pct"/>
                  <w:vMerge w:val="continue"/>
                  <w:tcBorders>
                    <w:left w:val="single" w:color="auto" w:sz="4" w:space="0"/>
                    <w:right w:val="single" w:color="auto" w:sz="4" w:space="0"/>
                  </w:tcBorders>
                  <w:noWrap w:val="0"/>
                  <w:vAlign w:val="center"/>
                </w:tcPr>
                <w:p w14:paraId="248AE6DB">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63" w:type="pct"/>
                  <w:vMerge w:val="continue"/>
                  <w:tcBorders>
                    <w:left w:val="single" w:color="auto" w:sz="4" w:space="0"/>
                    <w:right w:val="single" w:color="auto" w:sz="4" w:space="0"/>
                  </w:tcBorders>
                  <w:noWrap w:val="0"/>
                  <w:vAlign w:val="center"/>
                </w:tcPr>
                <w:p w14:paraId="102ED7B7">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754" w:type="dxa"/>
                  <w:tcBorders>
                    <w:left w:val="single" w:color="auto" w:sz="4" w:space="0"/>
                    <w:right w:val="single" w:color="auto" w:sz="4" w:space="0"/>
                  </w:tcBorders>
                  <w:noWrap w:val="0"/>
                  <w:vAlign w:val="center"/>
                </w:tcPr>
                <w:p w14:paraId="5D540B16">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w:t>
                  </w:r>
                </w:p>
              </w:tc>
              <w:tc>
                <w:tcPr>
                  <w:tcW w:w="1770" w:type="dxa"/>
                  <w:tcBorders>
                    <w:left w:val="single" w:color="auto" w:sz="4" w:space="0"/>
                    <w:right w:val="single" w:color="auto" w:sz="4" w:space="0"/>
                  </w:tcBorders>
                  <w:noWrap w:val="0"/>
                  <w:vAlign w:val="center"/>
                </w:tcPr>
                <w:p w14:paraId="3271A14C">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小时平均第</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百分位数</w:t>
                  </w:r>
                </w:p>
              </w:tc>
              <w:tc>
                <w:tcPr>
                  <w:tcW w:w="747" w:type="dxa"/>
                  <w:tcBorders>
                    <w:left w:val="single" w:color="auto" w:sz="4" w:space="0"/>
                    <w:right w:val="single" w:color="auto" w:sz="4" w:space="0"/>
                  </w:tcBorders>
                  <w:noWrap w:val="0"/>
                  <w:vAlign w:val="center"/>
                </w:tcPr>
                <w:p w14:paraId="4F0A4AF2">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700</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4E6184F1">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4000</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24240EF9">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825" w:type="dxa"/>
                  <w:tcBorders>
                    <w:top w:val="single" w:color="auto" w:sz="4" w:space="0"/>
                    <w:left w:val="single" w:color="auto" w:sz="4" w:space="0"/>
                    <w:right w:val="single" w:color="auto" w:sz="4" w:space="0"/>
                  </w:tcBorders>
                  <w:noWrap w:val="0"/>
                  <w:vAlign w:val="center"/>
                </w:tcPr>
                <w:p w14:paraId="2621CA62">
                  <w:pPr>
                    <w:keepNext w:val="0"/>
                    <w:keepLines w:val="0"/>
                    <w:widowControl/>
                    <w:suppressLineNumbers w:val="0"/>
                    <w:jc w:val="center"/>
                    <w:textAlignment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682" w:type="dxa"/>
                  <w:tcBorders>
                    <w:top w:val="single" w:color="auto" w:sz="4" w:space="0"/>
                    <w:left w:val="single" w:color="auto" w:sz="4" w:space="0"/>
                    <w:right w:val="single" w:color="auto" w:sz="4" w:space="0"/>
                  </w:tcBorders>
                  <w:noWrap w:val="0"/>
                  <w:vAlign w:val="center"/>
                </w:tcPr>
                <w:p w14:paraId="089C43A1">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达标</w:t>
                  </w:r>
                </w:p>
              </w:tc>
            </w:tr>
            <w:tr w14:paraId="064AD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05" w:type="pct"/>
                  <w:vMerge w:val="continue"/>
                  <w:tcBorders>
                    <w:left w:val="single" w:color="auto" w:sz="4" w:space="0"/>
                    <w:right w:val="single" w:color="auto" w:sz="4" w:space="0"/>
                  </w:tcBorders>
                  <w:noWrap w:val="0"/>
                  <w:vAlign w:val="center"/>
                </w:tcPr>
                <w:p w14:paraId="3A39C1EE">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72" w:type="pct"/>
                  <w:vMerge w:val="continue"/>
                  <w:tcBorders>
                    <w:left w:val="single" w:color="auto" w:sz="4" w:space="0"/>
                    <w:right w:val="single" w:color="auto" w:sz="4" w:space="0"/>
                  </w:tcBorders>
                  <w:noWrap w:val="0"/>
                  <w:vAlign w:val="center"/>
                </w:tcPr>
                <w:p w14:paraId="32B56321">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463" w:type="pct"/>
                  <w:vMerge w:val="continue"/>
                  <w:tcBorders>
                    <w:left w:val="single" w:color="auto" w:sz="4" w:space="0"/>
                    <w:right w:val="single" w:color="auto" w:sz="4" w:space="0"/>
                  </w:tcBorders>
                  <w:noWrap w:val="0"/>
                  <w:vAlign w:val="center"/>
                </w:tcPr>
                <w:p w14:paraId="36061D17">
                  <w:pPr>
                    <w:pStyle w:val="78"/>
                    <w:shd w:val="clear"/>
                    <w:spacing w:line="240" w:lineRule="auto"/>
                    <w:rPr>
                      <w:rFonts w:hint="default" w:ascii="Times New Roman" w:hAnsi="Times New Roman" w:eastAsia="宋体" w:cs="Times New Roman"/>
                      <w:color w:val="000000" w:themeColor="text1"/>
                      <w:highlight w:val="none"/>
                      <w14:textFill>
                        <w14:solidFill>
                          <w14:schemeClr w14:val="tx1"/>
                        </w14:solidFill>
                      </w14:textFill>
                    </w:rPr>
                  </w:pPr>
                </w:p>
              </w:tc>
              <w:tc>
                <w:tcPr>
                  <w:tcW w:w="754" w:type="dxa"/>
                  <w:tcBorders>
                    <w:left w:val="single" w:color="auto" w:sz="4" w:space="0"/>
                    <w:right w:val="single" w:color="auto" w:sz="4" w:space="0"/>
                  </w:tcBorders>
                  <w:noWrap w:val="0"/>
                  <w:vAlign w:val="center"/>
                </w:tcPr>
                <w:p w14:paraId="49F06681">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3</w:t>
                  </w:r>
                </w:p>
              </w:tc>
              <w:tc>
                <w:tcPr>
                  <w:tcW w:w="1770" w:type="dxa"/>
                  <w:tcBorders>
                    <w:left w:val="single" w:color="auto" w:sz="4" w:space="0"/>
                    <w:right w:val="single" w:color="auto" w:sz="4" w:space="0"/>
                  </w:tcBorders>
                  <w:noWrap w:val="0"/>
                  <w:vAlign w:val="center"/>
                </w:tcPr>
                <w:p w14:paraId="20CEEA33">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日最大</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小时平均第</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百分位数</w:t>
                  </w:r>
                </w:p>
              </w:tc>
              <w:tc>
                <w:tcPr>
                  <w:tcW w:w="747" w:type="dxa"/>
                  <w:tcBorders>
                    <w:left w:val="single" w:color="auto" w:sz="4" w:space="0"/>
                    <w:right w:val="single" w:color="auto" w:sz="4" w:space="0"/>
                  </w:tcBorders>
                  <w:noWrap w:val="0"/>
                  <w:vAlign w:val="center"/>
                </w:tcPr>
                <w:p w14:paraId="7D38A829">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7C07E975">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3982C285">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129.375</w:t>
                  </w:r>
                </w:p>
              </w:tc>
              <w:tc>
                <w:tcPr>
                  <w:tcW w:w="825" w:type="dxa"/>
                  <w:tcBorders>
                    <w:left w:val="single" w:color="auto" w:sz="4" w:space="0"/>
                    <w:bottom w:val="single" w:color="auto" w:sz="4" w:space="0"/>
                    <w:right w:val="single" w:color="auto" w:sz="4" w:space="0"/>
                  </w:tcBorders>
                  <w:noWrap w:val="0"/>
                  <w:vAlign w:val="center"/>
                </w:tcPr>
                <w:p w14:paraId="61F9514D">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6.58</w:t>
                  </w:r>
                </w:p>
              </w:tc>
              <w:tc>
                <w:tcPr>
                  <w:tcW w:w="682" w:type="dxa"/>
                  <w:tcBorders>
                    <w:left w:val="single" w:color="auto" w:sz="4" w:space="0"/>
                    <w:bottom w:val="single" w:color="auto" w:sz="4" w:space="0"/>
                    <w:right w:val="single" w:color="auto" w:sz="4" w:space="0"/>
                  </w:tcBorders>
                  <w:noWrap w:val="0"/>
                  <w:vAlign w:val="center"/>
                </w:tcPr>
                <w:p w14:paraId="2CE80EBE">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达标</w:t>
                  </w:r>
                </w:p>
              </w:tc>
            </w:tr>
          </w:tbl>
          <w:p w14:paraId="6D9B13B9">
            <w:pPr>
              <w:pStyle w:val="14"/>
              <w:shd w:val="clear"/>
              <w:bidi w:val="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根据以上数据可知，202</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年</w:t>
            </w:r>
            <w:r>
              <w:rPr>
                <w:rFonts w:hint="eastAsia" w:cs="Times New Roman"/>
                <w:color w:val="000000" w:themeColor="text1"/>
                <w:sz w:val="21"/>
                <w:szCs w:val="21"/>
                <w:highlight w:val="none"/>
                <w:lang w:val="en-US" w:eastAsia="zh-CN"/>
                <w14:textFill>
                  <w14:solidFill>
                    <w14:schemeClr w14:val="tx1"/>
                  </w14:solidFill>
                </w14:textFill>
              </w:rPr>
              <w:t>南朗</w:t>
            </w:r>
            <w:r>
              <w:rPr>
                <w:rFonts w:hint="default" w:ascii="Times New Roman" w:hAnsi="Times New Roman" w:eastAsia="宋体" w:cs="Times New Roman"/>
                <w:color w:val="000000" w:themeColor="text1"/>
                <w:sz w:val="21"/>
                <w:szCs w:val="21"/>
                <w:highlight w:val="none"/>
                <w14:textFill>
                  <w14:solidFill>
                    <w14:schemeClr w14:val="tx1"/>
                  </w14:solidFill>
                </w14:textFill>
              </w:rPr>
              <w:t>监测站</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二氧化硫、细颗粒物的年均值及相应的日均值特定百分位数浓度值均达到《环境空气质量标准》（GB3095-20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）过渡阶段浓度限值中的二级标准；二氧化氮、可吸入颗粒物的年均值百分位数浓度值达到《环境空气质量标准》（GB3095-20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）过渡阶段浓度限值中的二级标准；二氧化氮和可吸入颗粒物的特定百分位数浓度值能达到《环境空气质量标准》（GB3095-20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）过渡阶段浓度限值中的二级标准；一氧化碳日均值第95百分位数浓度值达到《环境空气质量标准》（GB3095-20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）过渡阶段浓度限值中的二级标准；臭氧日最大8小时滑动平均值的第90百分位数浓度值达到《环境空气质量标准》（GB3095-20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过渡阶段浓度限值中的</w:t>
            </w:r>
            <w:r>
              <w:rPr>
                <w:rFonts w:hint="default" w:ascii="Times New Roman" w:hAnsi="Times New Roman" w:eastAsia="宋体" w:cs="Times New Roman"/>
                <w:color w:val="000000" w:themeColor="text1"/>
                <w:sz w:val="21"/>
                <w:szCs w:val="21"/>
                <w:highlight w:val="none"/>
                <w14:textFill>
                  <w14:solidFill>
                    <w14:schemeClr w14:val="tx1"/>
                  </w14:solidFill>
                </w14:textFill>
              </w:rPr>
              <w:t>二级标准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2D1568B0">
            <w:pPr>
              <w:shd w:val="clear"/>
              <w:spacing w:line="360" w:lineRule="auto"/>
              <w:ind w:firstLine="482" w:firstLineChars="200"/>
              <w:jc w:val="left"/>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3、补充污染物环境质量现状评价</w:t>
            </w:r>
          </w:p>
          <w:p w14:paraId="7A81A409">
            <w:pPr>
              <w:keepNext/>
              <w:keepLines/>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both"/>
              <w:textAlignment w:val="auto"/>
              <w:outlineLvl w:val="2"/>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为了解本项目评价范围内的环境空气质量现状，本次评价选择TSP、非甲烷总烃</w:t>
            </w:r>
            <w:r>
              <w:rPr>
                <w:rFonts w:hint="eastAsia" w:cs="Times New Roman"/>
                <w:color w:val="000000" w:themeColor="text1"/>
                <w:sz w:val="21"/>
                <w:szCs w:val="21"/>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TVOC、臭气浓度</w:t>
            </w:r>
            <w:r>
              <w:rPr>
                <w:rFonts w:hint="eastAsia" w:cs="Times New Roman"/>
                <w:color w:val="000000" w:themeColor="text1"/>
                <w:sz w:val="21"/>
                <w:szCs w:val="21"/>
                <w:highlight w:val="none"/>
                <w:lang w:val="en-US" w:eastAsia="zh-CN"/>
                <w14:textFill>
                  <w14:solidFill>
                    <w14:schemeClr w14:val="tx1"/>
                  </w14:solidFill>
                </w14:textFill>
              </w:rPr>
              <w:t>作为评价因子</w:t>
            </w:r>
            <w:r>
              <w:rPr>
                <w:rFonts w:hint="default" w:ascii="Times New Roman" w:hAnsi="Times New Roman" w:eastAsia="宋体" w:cs="Times New Roman"/>
                <w:color w:val="000000" w:themeColor="text1"/>
                <w:sz w:val="21"/>
                <w:szCs w:val="21"/>
                <w:highlight w:val="none"/>
                <w:lang w:val="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由于非甲烷总烃</w:t>
            </w:r>
            <w:r>
              <w:rPr>
                <w:rFonts w:hint="eastAsia" w:cs="Times New Roman"/>
                <w:color w:val="000000" w:themeColor="text1"/>
                <w:sz w:val="21"/>
                <w:szCs w:val="21"/>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TVO</w:t>
            </w:r>
            <w:r>
              <w:rPr>
                <w:rFonts w:hint="eastAsia" w:cs="Times New Roman"/>
                <w:color w:val="000000" w:themeColor="text1"/>
                <w:sz w:val="21"/>
                <w:szCs w:val="21"/>
                <w:highlight w:val="none"/>
                <w:lang w:val="en-US" w:eastAsia="zh-CN"/>
                <w14:textFill>
                  <w14:solidFill>
                    <w14:schemeClr w14:val="tx1"/>
                  </w14:solidFill>
                </w14:textFill>
              </w:rPr>
              <w:t>C</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臭气浓度</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暂无国家或地方空气质量标准</w:t>
            </w:r>
            <w:r>
              <w:rPr>
                <w:rFonts w:hint="default" w:ascii="Times New Roman" w:hAnsi="Times New Roman" w:eastAsia="宋体" w:cs="Times New Roman"/>
                <w:color w:val="000000" w:themeColor="text1"/>
                <w:sz w:val="21"/>
                <w:szCs w:val="21"/>
                <w:highlight w:val="none"/>
                <w:lang w:val="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故不</w:t>
            </w:r>
            <w:r>
              <w:rPr>
                <w:rFonts w:hint="eastAsia" w:cs="Times New Roman"/>
                <w:color w:val="000000" w:themeColor="text1"/>
                <w:sz w:val="21"/>
                <w:szCs w:val="21"/>
                <w:highlight w:val="none"/>
                <w:lang w:val="en-US" w:eastAsia="zh-CN"/>
                <w14:textFill>
                  <w14:solidFill>
                    <w14:schemeClr w14:val="tx1"/>
                  </w14:solidFill>
                </w14:textFill>
              </w:rPr>
              <w:t>对</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非甲烷总烃</w:t>
            </w:r>
            <w:r>
              <w:rPr>
                <w:rFonts w:hint="eastAsia" w:cs="Times New Roman"/>
                <w:color w:val="000000" w:themeColor="text1"/>
                <w:sz w:val="21"/>
                <w:szCs w:val="21"/>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TVOC、臭气浓度</w:t>
            </w:r>
            <w:r>
              <w:rPr>
                <w:rFonts w:hint="eastAsia" w:cs="Times New Roman"/>
                <w:color w:val="000000" w:themeColor="text1"/>
                <w:sz w:val="21"/>
                <w:szCs w:val="21"/>
                <w:highlight w:val="none"/>
                <w:lang w:val="en-US" w:eastAsia="zh-CN"/>
                <w14:textFill>
                  <w14:solidFill>
                    <w14:schemeClr w14:val="tx1"/>
                  </w14:solidFill>
                </w14:textFill>
              </w:rPr>
              <w:t>环境质量现状进行评价</w:t>
            </w:r>
            <w:r>
              <w:rPr>
                <w:rFonts w:hint="eastAsia" w:cs="Times New Roman"/>
                <w:color w:val="000000" w:themeColor="text1"/>
                <w:sz w:val="21"/>
                <w:szCs w:val="21"/>
                <w:highlight w:val="none"/>
                <w:lang w:val="zh-CN" w:eastAsia="zh-CN"/>
                <w14:textFill>
                  <w14:solidFill>
                    <w14:schemeClr w14:val="tx1"/>
                  </w14:solidFill>
                </w14:textFill>
              </w:rPr>
              <w:t>，仅对TSP环境质量现状进行评价分析</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w:t>
            </w:r>
          </w:p>
          <w:p w14:paraId="269CB128">
            <w:pPr>
              <w:keepNext/>
              <w:keepLines/>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jc w:val="both"/>
              <w:textAlignment w:val="auto"/>
              <w:outlineLvl w:val="2"/>
              <w:rPr>
                <w:rFonts w:hint="default" w:ascii="Times New Roman" w:hAnsi="Times New Roman" w:eastAsia="宋体" w:cs="Times New Roman"/>
                <w:b/>
                <w:bCs/>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项目所在地环境空气中颗粒物TSP现状情况，引用</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《中山市元亨精密科技有限公司》（报告编</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号：QD20240</w:t>
            </w:r>
            <w:r>
              <w:rPr>
                <w:rFonts w:hint="eastAsia" w:cs="Times New Roman"/>
                <w:b w:val="0"/>
                <w:bCs/>
                <w:color w:val="000000" w:themeColor="text1"/>
                <w:kern w:val="2"/>
                <w:sz w:val="21"/>
                <w:szCs w:val="21"/>
                <w:highlight w:val="none"/>
                <w:lang w:val="en-US" w:eastAsia="zh-CN" w:bidi="ar-SA"/>
                <w14:textFill>
                  <w14:solidFill>
                    <w14:schemeClr w14:val="tx1"/>
                  </w14:solidFill>
                </w14:textFill>
              </w:rPr>
              <w:t>715E5</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），广</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东乾达</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检测技术有限公司于2024年</w:t>
            </w:r>
            <w:r>
              <w:rPr>
                <w:rFonts w:hint="eastAsia" w:cs="Times New Roman"/>
                <w:b w:val="0"/>
                <w:bCs/>
                <w:color w:val="000000" w:themeColor="text1"/>
                <w:kern w:val="2"/>
                <w:sz w:val="21"/>
                <w:szCs w:val="21"/>
                <w:highlight w:val="none"/>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月</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1</w:t>
            </w:r>
            <w:r>
              <w:rPr>
                <w:rFonts w:hint="eastAsia" w:cs="Times New Roman"/>
                <w:b w:val="0"/>
                <w:bCs/>
                <w:color w:val="000000" w:themeColor="text1"/>
                <w:kern w:val="2"/>
                <w:sz w:val="21"/>
                <w:szCs w:val="21"/>
                <w:highlight w:val="none"/>
                <w:lang w:val="en-US" w:eastAsia="zh-CN" w:bidi="ar-SA"/>
                <w14:textFill>
                  <w14:solidFill>
                    <w14:schemeClr w14:val="tx1"/>
                  </w14:solidFill>
                </w14:textFill>
              </w:rPr>
              <w:t>5</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日</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w:t>
            </w:r>
            <w:r>
              <w:rPr>
                <w:rFonts w:hint="eastAsia" w:cs="Times New Roman"/>
                <w:b w:val="0"/>
                <w:bCs/>
                <w:color w:val="000000" w:themeColor="text1"/>
                <w:kern w:val="2"/>
                <w:sz w:val="21"/>
                <w:szCs w:val="21"/>
                <w:highlight w:val="none"/>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月</w:t>
            </w:r>
            <w:r>
              <w:rPr>
                <w:rFonts w:hint="eastAsia" w:cs="Times New Roman"/>
                <w:b w:val="0"/>
                <w:bCs/>
                <w:color w:val="000000" w:themeColor="text1"/>
                <w:kern w:val="2"/>
                <w:sz w:val="21"/>
                <w:szCs w:val="21"/>
                <w:highlight w:val="none"/>
                <w:lang w:val="en-US" w:eastAsia="zh-CN" w:bidi="ar-SA"/>
                <w14:textFill>
                  <w14:solidFill>
                    <w14:schemeClr w14:val="tx1"/>
                  </w14:solidFill>
                </w14:textFill>
              </w:rPr>
              <w:t>17</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日对</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中山市</w:t>
            </w:r>
            <w:r>
              <w:rPr>
                <w:rFonts w:hint="eastAsia" w:cs="Times New Roman"/>
                <w:b w:val="0"/>
                <w:bCs/>
                <w:color w:val="000000" w:themeColor="text1"/>
                <w:kern w:val="2"/>
                <w:sz w:val="21"/>
                <w:szCs w:val="21"/>
                <w:highlight w:val="none"/>
                <w:lang w:val="en-US" w:eastAsia="zh-CN" w:bidi="ar-SA"/>
                <w14:textFill>
                  <w14:solidFill>
                    <w14:schemeClr w14:val="tx1"/>
                  </w14:solidFill>
                </w14:textFill>
              </w:rPr>
              <w:t>元亨精密科技</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有限公司</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环境进行监测，监测点位</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w:t>
            </w:r>
            <w:r>
              <w:rPr>
                <w:rFonts w:hint="eastAsia" w:cs="Times New Roman"/>
                <w:b w:val="0"/>
                <w:bCs/>
                <w:color w:val="000000" w:themeColor="text1"/>
                <w:kern w:val="2"/>
                <w:sz w:val="21"/>
                <w:szCs w:val="21"/>
                <w:highlight w:val="none"/>
                <w:lang w:val="en-US" w:eastAsia="zh-CN" w:bidi="ar-SA"/>
                <w14:textFill>
                  <w14:solidFill>
                    <w14:schemeClr w14:val="tx1"/>
                  </w14:solidFill>
                </w14:textFill>
              </w:rPr>
              <w:t>A1</w:t>
            </w:r>
            <w:r>
              <w:rPr>
                <w:rFonts w:hint="default" w:ascii="Times New Roman" w:hAnsi="Times New Roman" w:cs="Times New Roman"/>
                <w:b w:val="0"/>
                <w:bCs/>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于本项目</w:t>
            </w:r>
            <w:r>
              <w:rPr>
                <w:rFonts w:hint="eastAsia" w:cs="Times New Roman"/>
                <w:b w:val="0"/>
                <w:bCs/>
                <w:color w:val="000000" w:themeColor="text1"/>
                <w:kern w:val="2"/>
                <w:sz w:val="21"/>
                <w:szCs w:val="21"/>
                <w:highlight w:val="none"/>
                <w:lang w:val="en-US" w:eastAsia="zh-CN" w:bidi="ar-SA"/>
                <w14:textFill>
                  <w14:solidFill>
                    <w14:schemeClr w14:val="tx1"/>
                  </w14:solidFill>
                </w14:textFill>
              </w:rPr>
              <w:t>东南0.877</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km，监测数据所在范围符合评价区域范围内要求，监测数据时间符合3年内有效要求，因此，监测数据可有效引用。</w:t>
            </w:r>
          </w:p>
          <w:p w14:paraId="6186B443">
            <w:pPr>
              <w:widowControl w:val="0"/>
              <w:numPr>
                <w:ilvl w:val="0"/>
                <w:numId w:val="0"/>
              </w:numPr>
              <w:shd w:val="clear"/>
              <w:spacing w:before="120" w:beforeLines="50"/>
              <w:ind w:leftChars="0"/>
              <w:jc w:val="both"/>
              <w:outlineLvl w:val="4"/>
              <w:rPr>
                <w:rFonts w:hint="default" w:ascii="Times New Roman" w:hAnsi="Times New Roman" w:eastAsia="宋体" w:cs="Times New Roman"/>
                <w:b/>
                <w:bCs/>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1784350</wp:posOffset>
                      </wp:positionH>
                      <wp:positionV relativeFrom="paragraph">
                        <wp:posOffset>2574290</wp:posOffset>
                      </wp:positionV>
                      <wp:extent cx="707390" cy="260985"/>
                      <wp:effectExtent l="0" t="0" r="16510" b="5715"/>
                      <wp:wrapNone/>
                      <wp:docPr id="69" name="文本框 275"/>
                      <wp:cNvGraphicFramePr/>
                      <a:graphic xmlns:a="http://schemas.openxmlformats.org/drawingml/2006/main">
                        <a:graphicData uri="http://schemas.microsoft.com/office/word/2010/wordprocessingShape">
                          <wps:wsp>
                            <wps:cNvSpPr txBox="1"/>
                            <wps:spPr>
                              <a:xfrm>
                                <a:off x="0" y="0"/>
                                <a:ext cx="707390" cy="260985"/>
                              </a:xfrm>
                              <a:prstGeom prst="rect">
                                <a:avLst/>
                              </a:prstGeom>
                              <a:solidFill>
                                <a:schemeClr val="bg1"/>
                              </a:solidFill>
                              <a:ln>
                                <a:noFill/>
                              </a:ln>
                            </wps:spPr>
                            <wps:txbx>
                              <w:txbxContent>
                                <w:p w14:paraId="3A1EA5BA">
                                  <w:pPr>
                                    <w:rPr>
                                      <w:rFonts w:hint="default" w:eastAsia="宋体"/>
                                      <w:b/>
                                      <w:bCs/>
                                      <w:color w:val="FF0000"/>
                                      <w:sz w:val="21"/>
                                      <w:szCs w:val="21"/>
                                      <w:lang w:val="en-US" w:eastAsia="zh-CN"/>
                                    </w:rPr>
                                  </w:pPr>
                                  <w:r>
                                    <w:rPr>
                                      <w:rFonts w:hint="eastAsia"/>
                                      <w:b/>
                                      <w:bCs/>
                                      <w:color w:val="FF0000"/>
                                      <w:sz w:val="21"/>
                                      <w:szCs w:val="21"/>
                                      <w:lang w:val="en-US" w:eastAsia="zh-CN"/>
                                    </w:rPr>
                                    <w:t>0.877km</w:t>
                                  </w:r>
                                </w:p>
                              </w:txbxContent>
                            </wps:txbx>
                            <wps:bodyPr wrap="square" upright="1"/>
                          </wps:wsp>
                        </a:graphicData>
                      </a:graphic>
                    </wp:anchor>
                  </w:drawing>
                </mc:Choice>
                <mc:Fallback>
                  <w:pict>
                    <v:shape id="文本框 275" o:spid="_x0000_s1026" o:spt="202" type="#_x0000_t202" style="position:absolute;left:0pt;margin-left:140.5pt;margin-top:202.7pt;height:20.55pt;width:55.7pt;z-index:251676672;mso-width-relative:page;mso-height-relative:page;" fillcolor="#FFFFFF [3212]" filled="t" stroked="f" coordsize="21600,21600" o:gfxdata="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MaUOLZAAAACwEAAA8AAAAAAAAAAQAgAAAAIgAA&#10;AGRycy9kb3ducmV2LnhtbFBLAQIUABQAAAAIAIdO4kADU1sMzgEAAIcDAAAOAAAAAAAAAAEAIAAA&#10;ACgBAABkcnMvZTJvRG9jLnhtbFBLBQYAAAAABgAGAFkBAABoBQAAAAA=&#10;">
                      <v:fill on="t" focussize="0,0"/>
                      <v:stroke on="f"/>
                      <v:imagedata o:title=""/>
                      <o:lock v:ext="edit" aspectratio="f"/>
                      <v:textbox>
                        <w:txbxContent>
                          <w:p w14:paraId="3A1EA5BA">
                            <w:pPr>
                              <w:rPr>
                                <w:rFonts w:hint="default" w:eastAsia="宋体"/>
                                <w:b/>
                                <w:bCs/>
                                <w:color w:val="FF0000"/>
                                <w:sz w:val="21"/>
                                <w:szCs w:val="21"/>
                                <w:lang w:val="en-US" w:eastAsia="zh-CN"/>
                              </w:rPr>
                            </w:pPr>
                            <w:r>
                              <w:rPr>
                                <w:rFonts w:hint="eastAsia"/>
                                <w:b/>
                                <w:bCs/>
                                <w:color w:val="FF0000"/>
                                <w:sz w:val="21"/>
                                <w:szCs w:val="21"/>
                                <w:lang w:val="en-US" w:eastAsia="zh-CN"/>
                              </w:rPr>
                              <w:t>0.877km</w:t>
                            </w:r>
                          </w:p>
                        </w:txbxContent>
                      </v:textbox>
                    </v:shape>
                  </w:pict>
                </mc:Fallback>
              </mc:AlternateContent>
            </w:r>
            <w:r>
              <w:rPr>
                <w:rFonts w:hint="default" w:ascii="Times New Roman" w:hAnsi="Times New Roman" w:eastAsia="宋体" w:cs="Times New Roman"/>
                <w:color w:val="000000" w:themeColor="text1"/>
                <w:sz w:val="24"/>
                <w:highlight w:val="none"/>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2985135</wp:posOffset>
                      </wp:positionH>
                      <wp:positionV relativeFrom="paragraph">
                        <wp:posOffset>3338830</wp:posOffset>
                      </wp:positionV>
                      <wp:extent cx="734060" cy="269240"/>
                      <wp:effectExtent l="0" t="0" r="8890" b="16510"/>
                      <wp:wrapNone/>
                      <wp:docPr id="68" name="文本框 274"/>
                      <wp:cNvGraphicFramePr/>
                      <a:graphic xmlns:a="http://schemas.openxmlformats.org/drawingml/2006/main">
                        <a:graphicData uri="http://schemas.microsoft.com/office/word/2010/wordprocessingShape">
                          <wps:wsp>
                            <wps:cNvSpPr txBox="1"/>
                            <wps:spPr>
                              <a:xfrm>
                                <a:off x="0" y="0"/>
                                <a:ext cx="734060" cy="269240"/>
                              </a:xfrm>
                              <a:prstGeom prst="rect">
                                <a:avLst/>
                              </a:prstGeom>
                              <a:solidFill>
                                <a:srgbClr val="FFFFFF"/>
                              </a:solidFill>
                              <a:ln>
                                <a:noFill/>
                              </a:ln>
                            </wps:spPr>
                            <wps:txbx>
                              <w:txbxContent>
                                <w:p w14:paraId="0583A6D0">
                                  <w:pPr>
                                    <w:rPr>
                                      <w:rFonts w:hint="default" w:eastAsia="宋体"/>
                                      <w:b/>
                                      <w:bCs/>
                                      <w:color w:val="FF0000"/>
                                      <w:sz w:val="21"/>
                                      <w:szCs w:val="21"/>
                                      <w:lang w:val="en-US" w:eastAsia="zh-CN"/>
                                    </w:rPr>
                                  </w:pPr>
                                  <w:r>
                                    <w:rPr>
                                      <w:rFonts w:hint="eastAsia" w:eastAsia="宋体"/>
                                      <w:b/>
                                      <w:bCs/>
                                      <w:color w:val="FF0000"/>
                                      <w:sz w:val="21"/>
                                      <w:szCs w:val="21"/>
                                      <w:lang w:val="en-US" w:eastAsia="zh-CN"/>
                                    </w:rPr>
                                    <w:t>监测点位</w:t>
                                  </w:r>
                                </w:p>
                              </w:txbxContent>
                            </wps:txbx>
                            <wps:bodyPr wrap="square" upright="1"/>
                          </wps:wsp>
                        </a:graphicData>
                      </a:graphic>
                    </wp:anchor>
                  </w:drawing>
                </mc:Choice>
                <mc:Fallback>
                  <w:pict>
                    <v:shape id="文本框 274" o:spid="_x0000_s1026" o:spt="202" type="#_x0000_t202" style="position:absolute;left:0pt;margin-left:235.05pt;margin-top:262.9pt;height:21.2pt;width:57.8pt;z-index:251675648;mso-width-relative:page;mso-height-relative:page;" fillcolor="#FFFFFF" filled="t" stroked="f" coordsize="21600,21600" o:gfxdata="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HnGOC3ZAAAACwEAAA8AAAAAAAAAAQAgAAAAIgAA&#10;AGRycy9kb3ducmV2LnhtbFBLAQIUABQAAAAIAIdO4kCNR8pxzgEAAIcDAAAOAAAAAAAAAAEAIAAA&#10;ACgBAABkcnMvZTJvRG9jLnhtbFBLBQYAAAAABgAGAFkBAABoBQAAAAA=&#10;">
                      <v:fill on="t" focussize="0,0"/>
                      <v:stroke on="f"/>
                      <v:imagedata o:title=""/>
                      <o:lock v:ext="edit" aspectratio="f"/>
                      <v:textbox>
                        <w:txbxContent>
                          <w:p w14:paraId="0583A6D0">
                            <w:pPr>
                              <w:rPr>
                                <w:rFonts w:hint="default" w:eastAsia="宋体"/>
                                <w:b/>
                                <w:bCs/>
                                <w:color w:val="FF0000"/>
                                <w:sz w:val="21"/>
                                <w:szCs w:val="21"/>
                                <w:lang w:val="en-US" w:eastAsia="zh-CN"/>
                              </w:rPr>
                            </w:pPr>
                            <w:r>
                              <w:rPr>
                                <w:rFonts w:hint="eastAsia" w:eastAsia="宋体"/>
                                <w:b/>
                                <w:bCs/>
                                <w:color w:val="FF0000"/>
                                <w:sz w:val="21"/>
                                <w:szCs w:val="21"/>
                                <w:lang w:val="en-US" w:eastAsia="zh-CN"/>
                              </w:rPr>
                              <w:t>监测点位</w:t>
                            </w:r>
                          </w:p>
                        </w:txbxContent>
                      </v:textbox>
                    </v:shape>
                  </w:pict>
                </mc:Fallback>
              </mc:AlternateContent>
            </w:r>
            <w:r>
              <w:rPr>
                <w:rFonts w:hint="default" w:ascii="Times New Roman" w:hAnsi="Times New Roman" w:eastAsia="宋体" w:cs="Times New Roman"/>
                <w:color w:val="000000" w:themeColor="text1"/>
                <w:highlight w:val="none"/>
                <w14:textFill>
                  <w14:solidFill>
                    <w14:schemeClr w14:val="tx1"/>
                  </w14:solidFill>
                </w14:textFill>
              </w:rPr>
              <w:drawing>
                <wp:anchor distT="0" distB="0" distL="114300" distR="114300" simplePos="0" relativeHeight="251701248" behindDoc="0" locked="0" layoutInCell="1" allowOverlap="1">
                  <wp:simplePos x="0" y="0"/>
                  <wp:positionH relativeFrom="column">
                    <wp:posOffset>4809490</wp:posOffset>
                  </wp:positionH>
                  <wp:positionV relativeFrom="paragraph">
                    <wp:posOffset>176530</wp:posOffset>
                  </wp:positionV>
                  <wp:extent cx="514350" cy="694690"/>
                  <wp:effectExtent l="0" t="0" r="0" b="10160"/>
                  <wp:wrapNone/>
                  <wp:docPr id="70" name="图片 86"/>
                  <wp:cNvGraphicFramePr/>
                  <a:graphic xmlns:a="http://schemas.openxmlformats.org/drawingml/2006/main">
                    <a:graphicData uri="http://schemas.openxmlformats.org/drawingml/2006/picture">
                      <pic:pic xmlns:pic="http://schemas.openxmlformats.org/drawingml/2006/picture">
                        <pic:nvPicPr>
                          <pic:cNvPr id="70" name="图片 86"/>
                          <pic:cNvPicPr/>
                        </pic:nvPicPr>
                        <pic:blipFill>
                          <a:blip r:embed="rId20"/>
                          <a:stretch>
                            <a:fillRect/>
                          </a:stretch>
                        </pic:blipFill>
                        <pic:spPr>
                          <a:xfrm>
                            <a:off x="0" y="0"/>
                            <a:ext cx="514350" cy="694690"/>
                          </a:xfrm>
                          <a:prstGeom prst="rect">
                            <a:avLst/>
                          </a:prstGeom>
                          <a:noFill/>
                          <a:ln>
                            <a:noFill/>
                          </a:ln>
                        </pic:spPr>
                      </pic:pic>
                    </a:graphicData>
                  </a:graphic>
                </wp:anchor>
              </w:drawing>
            </w:r>
            <w:r>
              <w:rPr>
                <w:rFonts w:hint="default" w:ascii="Times New Roman" w:hAnsi="Times New Roman" w:eastAsia="宋体" w:cs="Times New Roman"/>
                <w:color w:val="000000" w:themeColor="text1"/>
                <w:sz w:val="24"/>
                <w:highlight w:val="none"/>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1186180</wp:posOffset>
                      </wp:positionH>
                      <wp:positionV relativeFrom="paragraph">
                        <wp:posOffset>1088390</wp:posOffset>
                      </wp:positionV>
                      <wp:extent cx="648970" cy="260985"/>
                      <wp:effectExtent l="0" t="0" r="0" b="0"/>
                      <wp:wrapNone/>
                      <wp:docPr id="67" name="文本框 276"/>
                      <wp:cNvGraphicFramePr/>
                      <a:graphic xmlns:a="http://schemas.openxmlformats.org/drawingml/2006/main">
                        <a:graphicData uri="http://schemas.microsoft.com/office/word/2010/wordprocessingShape">
                          <wps:wsp>
                            <wps:cNvSpPr txBox="1"/>
                            <wps:spPr>
                              <a:xfrm>
                                <a:off x="0" y="0"/>
                                <a:ext cx="648970" cy="260985"/>
                              </a:xfrm>
                              <a:prstGeom prst="rect">
                                <a:avLst/>
                              </a:prstGeom>
                              <a:solidFill>
                                <a:srgbClr val="FFFFFF"/>
                              </a:solidFill>
                              <a:ln>
                                <a:noFill/>
                              </a:ln>
                            </wps:spPr>
                            <wps:txbx>
                              <w:txbxContent>
                                <w:p w14:paraId="6E8AC777">
                                  <w:pPr>
                                    <w:rPr>
                                      <w:rFonts w:hint="eastAsia" w:eastAsia="宋体"/>
                                      <w:b/>
                                      <w:bCs/>
                                      <w:color w:val="FF0000"/>
                                      <w:sz w:val="21"/>
                                      <w:szCs w:val="21"/>
                                      <w:lang w:val="en-US" w:eastAsia="zh-CN"/>
                                    </w:rPr>
                                  </w:pPr>
                                  <w:r>
                                    <w:rPr>
                                      <w:rFonts w:hint="eastAsia"/>
                                      <w:b/>
                                      <w:bCs/>
                                      <w:color w:val="FF0000"/>
                                      <w:sz w:val="21"/>
                                      <w:szCs w:val="21"/>
                                      <w:lang w:val="en-US" w:eastAsia="zh-CN"/>
                                    </w:rPr>
                                    <w:t>本项目</w:t>
                                  </w:r>
                                </w:p>
                              </w:txbxContent>
                            </wps:txbx>
                            <wps:bodyPr wrap="square" upright="1"/>
                          </wps:wsp>
                        </a:graphicData>
                      </a:graphic>
                    </wp:anchor>
                  </w:drawing>
                </mc:Choice>
                <mc:Fallback>
                  <w:pict>
                    <v:shape id="文本框 276" o:spid="_x0000_s1026" o:spt="202" type="#_x0000_t202" style="position:absolute;left:0pt;margin-left:93.4pt;margin-top:85.7pt;height:20.55pt;width:51.1pt;z-index:251674624;mso-width-relative:page;mso-height-relative:page;" fillcolor="#FFFFFF" filled="t" stroked="f" coordsize="21600,21600" o:gfxdata="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&#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X0eb3XAAAACwEAAA8AAAAAAAAAAQAgAAAAIgAAAGRy&#10;cy9kb3ducmV2LnhtbFBLAQIUABQAAAAIAIdO4kCDhaTwzQEAAIcDAAAOAAAAAAAAAAEAIAAAACYB&#10;AABkcnMvZTJvRG9jLnhtbFBLBQYAAAAABgAGAFkBAABlBQAAAAA=&#10;">
                      <v:fill on="t" focussize="0,0"/>
                      <v:stroke on="f"/>
                      <v:imagedata o:title=""/>
                      <o:lock v:ext="edit" aspectratio="f"/>
                      <v:textbox>
                        <w:txbxContent>
                          <w:p w14:paraId="6E8AC777">
                            <w:pPr>
                              <w:rPr>
                                <w:rFonts w:hint="eastAsia" w:eastAsia="宋体"/>
                                <w:b/>
                                <w:bCs/>
                                <w:color w:val="FF0000"/>
                                <w:sz w:val="21"/>
                                <w:szCs w:val="21"/>
                                <w:lang w:val="en-US" w:eastAsia="zh-CN"/>
                              </w:rPr>
                            </w:pPr>
                            <w:r>
                              <w:rPr>
                                <w:rFonts w:hint="eastAsia"/>
                                <w:b/>
                                <w:bCs/>
                                <w:color w:val="FF0000"/>
                                <w:sz w:val="21"/>
                                <w:szCs w:val="21"/>
                                <w:lang w:val="en-US" w:eastAsia="zh-CN"/>
                              </w:rPr>
                              <w:t>本项目</w:t>
                            </w:r>
                          </w:p>
                        </w:txbxContent>
                      </v:textbox>
                    </v:shape>
                  </w:pict>
                </mc:Fallback>
              </mc:AlternateContent>
            </w:r>
            <w:r>
              <w:rPr>
                <w:rFonts w:hint="default" w:ascii="Times New Roman" w:hAnsi="Times New Roman" w:eastAsia="宋体" w:cs="Times New Roman"/>
                <w:color w:val="000000" w:themeColor="text1"/>
                <w:sz w:val="24"/>
                <w:highlight w:val="none"/>
                <w14:textFill>
                  <w14:solidFill>
                    <w14:schemeClr w14:val="tx1"/>
                  </w14:solidFill>
                </w14:textFill>
              </w:rPr>
              <w:drawing>
                <wp:inline distT="0" distB="0" distL="114300" distR="114300">
                  <wp:extent cx="4691380" cy="4273550"/>
                  <wp:effectExtent l="0" t="0" r="13970" b="12700"/>
                  <wp:docPr id="162" name="图片 162" descr="6d3fea7e-4580-4304-af49-9275bbdaa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6d3fea7e-4580-4304-af49-9275bbdaa675"/>
                          <pic:cNvPicPr>
                            <a:picLocks noChangeAspect="1"/>
                          </pic:cNvPicPr>
                        </pic:nvPicPr>
                        <pic:blipFill>
                          <a:blip r:embed="rId21"/>
                          <a:stretch>
                            <a:fillRect/>
                          </a:stretch>
                        </pic:blipFill>
                        <pic:spPr>
                          <a:xfrm>
                            <a:off x="0" y="0"/>
                            <a:ext cx="4691380" cy="4273550"/>
                          </a:xfrm>
                          <a:prstGeom prst="rect">
                            <a:avLst/>
                          </a:prstGeom>
                        </pic:spPr>
                      </pic:pic>
                    </a:graphicData>
                  </a:graphic>
                </wp:inline>
              </w:drawing>
            </w:r>
          </w:p>
          <w:p w14:paraId="63ED4F8C">
            <w:pPr>
              <w:widowControl w:val="0"/>
              <w:numPr>
                <w:ilvl w:val="0"/>
                <w:numId w:val="0"/>
              </w:numPr>
              <w:shd w:val="clear"/>
              <w:spacing w:before="120" w:beforeLines="50"/>
              <w:ind w:leftChars="0"/>
              <w:jc w:val="center"/>
              <w:outlineLvl w:val="4"/>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Cs w:val="21"/>
                <w:highlight w:val="none"/>
                <w:lang w:val="en-US" w:eastAsia="zh-CN"/>
                <w14:textFill>
                  <w14:solidFill>
                    <w14:schemeClr w14:val="tx1"/>
                  </w14:solidFill>
                </w14:textFill>
              </w:rPr>
              <w:t>图</w:t>
            </w:r>
            <w:r>
              <w:rPr>
                <w:rFonts w:hint="eastAsia" w:cs="Times New Roman"/>
                <w:b/>
                <w:bCs/>
                <w:color w:val="000000" w:themeColor="text1"/>
                <w:kern w:val="0"/>
                <w:szCs w:val="21"/>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kern w:val="0"/>
                <w:szCs w:val="21"/>
                <w:highlight w:val="none"/>
                <w:lang w:val="en-US" w:eastAsia="zh-CN"/>
                <w14:textFill>
                  <w14:solidFill>
                    <w14:schemeClr w14:val="tx1"/>
                  </w14:solidFill>
                </w14:textFill>
              </w:rPr>
              <w:t>本项目距离TSP监测点位示意图</w:t>
            </w:r>
          </w:p>
          <w:p w14:paraId="490F0EE7">
            <w:pPr>
              <w:widowControl w:val="0"/>
              <w:numPr>
                <w:ilvl w:val="0"/>
                <w:numId w:val="0"/>
              </w:numPr>
              <w:shd w:val="clear"/>
              <w:spacing w:before="120" w:beforeLines="50" w:line="360" w:lineRule="auto"/>
              <w:ind w:leftChars="0"/>
              <w:jc w:val="center"/>
              <w:outlineLvl w:val="4"/>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表1</w:t>
            </w:r>
            <w:r>
              <w:rPr>
                <w:rFonts w:hint="eastAsia" w:cs="Times New Roman"/>
                <w:b/>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TSP环境质量现状（监测结果）表</w:t>
            </w:r>
          </w:p>
          <w:tbl>
            <w:tblPr>
              <w:tblStyle w:val="33"/>
              <w:tblW w:w="8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633"/>
              <w:gridCol w:w="884"/>
              <w:gridCol w:w="1071"/>
              <w:gridCol w:w="1231"/>
              <w:gridCol w:w="882"/>
              <w:gridCol w:w="666"/>
              <w:gridCol w:w="892"/>
              <w:gridCol w:w="1000"/>
            </w:tblGrid>
            <w:tr w14:paraId="4BB3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887" w:type="dxa"/>
                  <w:tcBorders>
                    <w:top w:val="single" w:color="auto" w:sz="4" w:space="0"/>
                    <w:left w:val="single" w:color="auto" w:sz="4" w:space="0"/>
                    <w:right w:val="single" w:color="auto" w:sz="4" w:space="0"/>
                  </w:tcBorders>
                  <w:noWrap w:val="0"/>
                  <w:vAlign w:val="center"/>
                </w:tcPr>
                <w:p w14:paraId="3A54CF25">
                  <w:pPr>
                    <w:shd w:val="clear"/>
                    <w:spacing w:line="240" w:lineRule="auto"/>
                    <w:jc w:val="center"/>
                    <w:rPr>
                      <w:rFonts w:hint="default" w:ascii="Times New Roman" w:hAnsi="Times New Roman" w:eastAsia="宋体" w:cs="Times New Roman"/>
                      <w:b/>
                      <w:bCs/>
                      <w:color w:val="000000" w:themeColor="text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监测点位</w:t>
                  </w:r>
                </w:p>
              </w:tc>
              <w:tc>
                <w:tcPr>
                  <w:tcW w:w="633" w:type="dxa"/>
                  <w:tcBorders>
                    <w:top w:val="single" w:color="auto" w:sz="4" w:space="0"/>
                    <w:left w:val="single" w:color="auto" w:sz="4" w:space="0"/>
                    <w:right w:val="single" w:color="auto" w:sz="4" w:space="0"/>
                  </w:tcBorders>
                  <w:noWrap w:val="0"/>
                  <w:vAlign w:val="center"/>
                </w:tcPr>
                <w:p w14:paraId="07B75910">
                  <w:pPr>
                    <w:shd w:val="clear"/>
                    <w:spacing w:line="240" w:lineRule="auto"/>
                    <w:jc w:val="center"/>
                    <w:rPr>
                      <w:rFonts w:hint="default" w:ascii="Times New Roman" w:hAnsi="Times New Roman" w:eastAsia="宋体" w:cs="Times New Roman"/>
                      <w:b/>
                      <w:bCs/>
                      <w:color w:val="000000" w:themeColor="text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污染物</w:t>
                  </w:r>
                </w:p>
              </w:tc>
              <w:tc>
                <w:tcPr>
                  <w:tcW w:w="884" w:type="dxa"/>
                  <w:tcBorders>
                    <w:top w:val="single" w:color="auto" w:sz="4" w:space="0"/>
                    <w:left w:val="single" w:color="auto" w:sz="4" w:space="0"/>
                    <w:right w:val="single" w:color="auto" w:sz="4" w:space="0"/>
                  </w:tcBorders>
                  <w:noWrap w:val="0"/>
                  <w:vAlign w:val="center"/>
                </w:tcPr>
                <w:p w14:paraId="3381CE9E">
                  <w:pPr>
                    <w:shd w:val="clear"/>
                    <w:spacing w:line="240" w:lineRule="auto"/>
                    <w:jc w:val="center"/>
                    <w:rPr>
                      <w:rFonts w:hint="default" w:ascii="Times New Roman" w:hAnsi="Times New Roman" w:eastAsia="宋体" w:cs="Times New Roman"/>
                      <w:b/>
                      <w:bCs/>
                      <w:color w:val="000000" w:themeColor="text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平均时间</w:t>
                  </w:r>
                </w:p>
              </w:tc>
              <w:tc>
                <w:tcPr>
                  <w:tcW w:w="1071" w:type="dxa"/>
                  <w:tcBorders>
                    <w:top w:val="single" w:color="auto" w:sz="4" w:space="0"/>
                    <w:left w:val="single" w:color="auto" w:sz="4" w:space="0"/>
                    <w:right w:val="single" w:color="auto" w:sz="4" w:space="0"/>
                  </w:tcBorders>
                  <w:noWrap w:val="0"/>
                  <w:vAlign w:val="center"/>
                </w:tcPr>
                <w:p w14:paraId="30A7E0C1">
                  <w:pPr>
                    <w:shd w:val="clear"/>
                    <w:spacing w:line="240" w:lineRule="auto"/>
                    <w:jc w:val="center"/>
                    <w:rPr>
                      <w:rFonts w:hint="default" w:ascii="Times New Roman" w:hAnsi="Times New Roman" w:eastAsia="宋体" w:cs="Times New Roman"/>
                      <w:b/>
                      <w:bCs/>
                      <w:color w:val="000000" w:themeColor="text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评价标准/(mg/m</w:t>
                  </w:r>
                  <w:r>
                    <w:rPr>
                      <w:rFonts w:hint="default" w:ascii="Times New Roman" w:hAnsi="Times New Roman" w:eastAsia="宋体" w:cs="Times New Roman"/>
                      <w:b/>
                      <w:bCs/>
                      <w:color w:val="000000" w:themeColor="text1"/>
                      <w:szCs w:val="21"/>
                      <w:highlight w:val="none"/>
                      <w:vertAlign w:val="superscript"/>
                      <w:lang w:bidi="ar"/>
                      <w14:textFill>
                        <w14:solidFill>
                          <w14:schemeClr w14:val="tx1"/>
                        </w14:solidFill>
                      </w14:textFill>
                    </w:rPr>
                    <w:t>3</w:t>
                  </w: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w:t>
                  </w:r>
                </w:p>
              </w:tc>
              <w:tc>
                <w:tcPr>
                  <w:tcW w:w="1231" w:type="dxa"/>
                  <w:tcBorders>
                    <w:top w:val="single" w:color="auto" w:sz="4" w:space="0"/>
                    <w:left w:val="single" w:color="auto" w:sz="4" w:space="0"/>
                    <w:right w:val="single" w:color="auto" w:sz="4" w:space="0"/>
                  </w:tcBorders>
                  <w:noWrap w:val="0"/>
                  <w:vAlign w:val="center"/>
                </w:tcPr>
                <w:p w14:paraId="3CD8EC64">
                  <w:pPr>
                    <w:shd w:val="clear"/>
                    <w:spacing w:line="240" w:lineRule="auto"/>
                    <w:jc w:val="center"/>
                    <w:rPr>
                      <w:rFonts w:hint="default" w:ascii="Times New Roman" w:hAnsi="Times New Roman" w:eastAsia="宋体" w:cs="Times New Roman"/>
                      <w:b/>
                      <w:bCs/>
                      <w:color w:val="000000" w:themeColor="text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监测浓度范围/(mg/m</w:t>
                  </w:r>
                  <w:r>
                    <w:rPr>
                      <w:rFonts w:hint="default" w:ascii="Times New Roman" w:hAnsi="Times New Roman" w:eastAsia="宋体" w:cs="Times New Roman"/>
                      <w:b/>
                      <w:bCs/>
                      <w:color w:val="000000" w:themeColor="text1"/>
                      <w:szCs w:val="21"/>
                      <w:highlight w:val="none"/>
                      <w:vertAlign w:val="superscript"/>
                      <w:lang w:bidi="ar"/>
                      <w14:textFill>
                        <w14:solidFill>
                          <w14:schemeClr w14:val="tx1"/>
                        </w14:solidFill>
                      </w14:textFill>
                    </w:rPr>
                    <w:t>3</w:t>
                  </w: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w:t>
                  </w:r>
                </w:p>
              </w:tc>
              <w:tc>
                <w:tcPr>
                  <w:tcW w:w="882" w:type="dxa"/>
                  <w:tcBorders>
                    <w:top w:val="single" w:color="auto" w:sz="4" w:space="0"/>
                    <w:left w:val="single" w:color="auto" w:sz="4" w:space="0"/>
                    <w:right w:val="single" w:color="auto" w:sz="4" w:space="0"/>
                  </w:tcBorders>
                  <w:noWrap w:val="0"/>
                  <w:vAlign w:val="center"/>
                </w:tcPr>
                <w:p w14:paraId="7EDEBCFF">
                  <w:pPr>
                    <w:shd w:val="clear"/>
                    <w:spacing w:line="240" w:lineRule="auto"/>
                    <w:jc w:val="center"/>
                    <w:rPr>
                      <w:rFonts w:hint="default" w:ascii="Times New Roman" w:hAnsi="Times New Roman" w:eastAsia="宋体" w:cs="Times New Roman"/>
                      <w:b/>
                      <w:bCs/>
                      <w:color w:val="000000" w:themeColor="text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最大浓度占标率%</w:t>
                  </w:r>
                </w:p>
              </w:tc>
              <w:tc>
                <w:tcPr>
                  <w:tcW w:w="666" w:type="dxa"/>
                  <w:tcBorders>
                    <w:top w:val="single" w:color="auto" w:sz="4" w:space="0"/>
                    <w:left w:val="single" w:color="auto" w:sz="4" w:space="0"/>
                    <w:right w:val="single" w:color="auto" w:sz="4" w:space="0"/>
                  </w:tcBorders>
                  <w:noWrap w:val="0"/>
                  <w:vAlign w:val="center"/>
                </w:tcPr>
                <w:p w14:paraId="5856BF0C">
                  <w:pPr>
                    <w:shd w:val="clear"/>
                    <w:spacing w:line="240" w:lineRule="auto"/>
                    <w:jc w:val="center"/>
                    <w:rPr>
                      <w:rFonts w:hint="default" w:ascii="Times New Roman" w:hAnsi="Times New Roman" w:eastAsia="宋体" w:cs="Times New Roman"/>
                      <w:b/>
                      <w:bCs/>
                      <w:color w:val="000000" w:themeColor="text1"/>
                      <w:szCs w:val="21"/>
                      <w:highlight w:val="none"/>
                      <w:lang w:eastAsia="zh-CN"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val="en-US" w:eastAsia="zh-CN" w:bidi="ar"/>
                      <w14:textFill>
                        <w14:solidFill>
                          <w14:schemeClr w14:val="tx1"/>
                        </w14:solidFill>
                      </w14:textFill>
                    </w:rPr>
                    <w:t>超标率%</w:t>
                  </w:r>
                </w:p>
              </w:tc>
              <w:tc>
                <w:tcPr>
                  <w:tcW w:w="892" w:type="dxa"/>
                  <w:tcBorders>
                    <w:top w:val="single" w:color="auto" w:sz="4" w:space="0"/>
                    <w:left w:val="single" w:color="auto" w:sz="4" w:space="0"/>
                    <w:right w:val="single" w:color="auto" w:sz="4" w:space="0"/>
                  </w:tcBorders>
                  <w:noWrap w:val="0"/>
                  <w:vAlign w:val="center"/>
                </w:tcPr>
                <w:p w14:paraId="34089069">
                  <w:pPr>
                    <w:shd w:val="clear"/>
                    <w:spacing w:line="240" w:lineRule="auto"/>
                    <w:jc w:val="center"/>
                    <w:rPr>
                      <w:rFonts w:hint="default" w:ascii="Times New Roman" w:hAnsi="Times New Roman" w:eastAsia="宋体" w:cs="Times New Roman"/>
                      <w:b/>
                      <w:bCs/>
                      <w:color w:val="000000" w:themeColor="text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相对厂区方位</w:t>
                  </w:r>
                </w:p>
              </w:tc>
              <w:tc>
                <w:tcPr>
                  <w:tcW w:w="1000" w:type="dxa"/>
                  <w:tcBorders>
                    <w:top w:val="single" w:color="auto" w:sz="4" w:space="0"/>
                    <w:left w:val="single" w:color="auto" w:sz="4" w:space="0"/>
                    <w:right w:val="single" w:color="auto" w:sz="4" w:space="0"/>
                  </w:tcBorders>
                  <w:noWrap w:val="0"/>
                  <w:vAlign w:val="center"/>
                </w:tcPr>
                <w:p w14:paraId="0108ADB3">
                  <w:pPr>
                    <w:shd w:val="clear"/>
                    <w:spacing w:line="240" w:lineRule="auto"/>
                    <w:jc w:val="center"/>
                    <w:rPr>
                      <w:rFonts w:hint="default" w:ascii="Times New Roman" w:hAnsi="Times New Roman" w:eastAsia="宋体" w:cs="Times New Roman"/>
                      <w:b/>
                      <w:bCs/>
                      <w:color w:val="000000" w:themeColor="text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相对厂界距离/km</w:t>
                  </w:r>
                </w:p>
              </w:tc>
            </w:tr>
            <w:tr w14:paraId="081A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7" w:type="dxa"/>
                  <w:tcBorders>
                    <w:left w:val="single" w:color="auto" w:sz="4" w:space="0"/>
                    <w:right w:val="single" w:color="auto" w:sz="4" w:space="0"/>
                  </w:tcBorders>
                  <w:noWrap w:val="0"/>
                  <w:vAlign w:val="center"/>
                </w:tcPr>
                <w:p w14:paraId="2949E92F">
                  <w:pPr>
                    <w:shd w:val="clear"/>
                    <w:spacing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A1</w:t>
                  </w:r>
                </w:p>
              </w:tc>
              <w:tc>
                <w:tcPr>
                  <w:tcW w:w="633" w:type="dxa"/>
                  <w:tcBorders>
                    <w:top w:val="single" w:color="auto" w:sz="4" w:space="0"/>
                    <w:left w:val="single" w:color="auto" w:sz="4" w:space="0"/>
                    <w:bottom w:val="single" w:color="auto" w:sz="4" w:space="0"/>
                    <w:right w:val="single" w:color="auto" w:sz="4" w:space="0"/>
                  </w:tcBorders>
                  <w:noWrap w:val="0"/>
                  <w:vAlign w:val="center"/>
                </w:tcPr>
                <w:p w14:paraId="5B4D3318">
                  <w:pPr>
                    <w:shd w:val="clear"/>
                    <w:snapToGrid w:val="0"/>
                    <w:spacing w:line="240" w:lineRule="auto"/>
                    <w:jc w:val="center"/>
                    <w:rPr>
                      <w:rFonts w:hint="default" w:ascii="Times New Roman" w:hAnsi="Times New Roman" w:eastAsia="宋体" w:cs="Times New Roman"/>
                      <w:color w:val="000000" w:themeColor="text1"/>
                      <w:szCs w:val="21"/>
                      <w:highlight w:val="none"/>
                      <w:lang w:bidi="ar"/>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TSP</w:t>
                  </w:r>
                </w:p>
              </w:tc>
              <w:tc>
                <w:tcPr>
                  <w:tcW w:w="884" w:type="dxa"/>
                  <w:tcBorders>
                    <w:top w:val="single" w:color="auto" w:sz="4" w:space="0"/>
                    <w:left w:val="single" w:color="auto" w:sz="4" w:space="0"/>
                    <w:bottom w:val="single" w:color="auto" w:sz="4" w:space="0"/>
                    <w:right w:val="single" w:color="auto" w:sz="4" w:space="0"/>
                  </w:tcBorders>
                  <w:noWrap w:val="0"/>
                  <w:vAlign w:val="center"/>
                </w:tcPr>
                <w:p w14:paraId="38998CD3">
                  <w:pPr>
                    <w:shd w:val="clear"/>
                    <w:snapToGrid w:val="0"/>
                    <w:spacing w:line="240" w:lineRule="auto"/>
                    <w:jc w:val="center"/>
                    <w:rPr>
                      <w:rFonts w:hint="default" w:ascii="Times New Roman" w:hAnsi="Times New Roman" w:eastAsia="宋体" w:cs="Times New Roman"/>
                      <w:color w:val="000000" w:themeColor="text1"/>
                      <w:szCs w:val="21"/>
                      <w:highlight w:val="none"/>
                      <w:lang w:bidi="ar"/>
                      <w14:textFill>
                        <w14:solidFill>
                          <w14:schemeClr w14:val="tx1"/>
                        </w14:solidFill>
                      </w14:textFill>
                    </w:rPr>
                  </w:pP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24小时均值</w:t>
                  </w:r>
                </w:p>
              </w:tc>
              <w:tc>
                <w:tcPr>
                  <w:tcW w:w="1071" w:type="dxa"/>
                  <w:tcBorders>
                    <w:top w:val="single" w:color="auto" w:sz="4" w:space="0"/>
                    <w:left w:val="single" w:color="auto" w:sz="4" w:space="0"/>
                    <w:bottom w:val="single" w:color="auto" w:sz="4" w:space="0"/>
                    <w:right w:val="single" w:color="auto" w:sz="4" w:space="0"/>
                  </w:tcBorders>
                  <w:noWrap w:val="0"/>
                  <w:vAlign w:val="center"/>
                </w:tcPr>
                <w:p w14:paraId="1D9C3FCE">
                  <w:pPr>
                    <w:shd w:val="clear"/>
                    <w:snapToGrid w:val="0"/>
                    <w:spacing w:line="240" w:lineRule="auto"/>
                    <w:jc w:val="center"/>
                    <w:rPr>
                      <w:rFonts w:hint="default" w:ascii="Times New Roman" w:hAnsi="Times New Roman" w:eastAsia="宋体" w:cs="Times New Roman"/>
                      <w:color w:val="000000" w:themeColor="text1"/>
                      <w:szCs w:val="21"/>
                      <w:highlight w:val="none"/>
                      <w:lang w:bidi="ar"/>
                      <w14:textFill>
                        <w14:solidFill>
                          <w14:schemeClr w14:val="tx1"/>
                        </w14:solidFill>
                      </w14:textFill>
                    </w:rPr>
                  </w:pP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0.3</w:t>
                  </w:r>
                </w:p>
              </w:tc>
              <w:tc>
                <w:tcPr>
                  <w:tcW w:w="1231" w:type="dxa"/>
                  <w:tcBorders>
                    <w:top w:val="single" w:color="auto" w:sz="4" w:space="0"/>
                    <w:bottom w:val="single" w:color="auto" w:sz="4" w:space="0"/>
                  </w:tcBorders>
                  <w:noWrap w:val="0"/>
                  <w:vAlign w:val="center"/>
                </w:tcPr>
                <w:p w14:paraId="1FDA4F55">
                  <w:pPr>
                    <w:shd w:val="clear"/>
                    <w:snapToGrid w:val="0"/>
                    <w:spacing w:line="240" w:lineRule="auto"/>
                    <w:jc w:val="center"/>
                    <w:rPr>
                      <w:rFonts w:hint="default" w:ascii="Times New Roman" w:hAnsi="Times New Roman" w:eastAsia="宋体" w:cs="Times New Roman"/>
                      <w:bCs/>
                      <w:color w:val="000000" w:themeColor="text1"/>
                      <w:szCs w:val="21"/>
                      <w:highlight w:val="none"/>
                      <w:lang w:val="en-US"/>
                      <w14:textFill>
                        <w14:solidFill>
                          <w14:schemeClr w14:val="tx1"/>
                        </w14:solidFill>
                      </w14:textFill>
                    </w:rPr>
                  </w:pPr>
                  <w:r>
                    <w:rPr>
                      <w:rFonts w:hint="default" w:ascii="Times New Roman" w:hAnsi="Times New Roman" w:cs="Times New Roman"/>
                      <w:bCs/>
                      <w:color w:val="000000" w:themeColor="text1"/>
                      <w:szCs w:val="21"/>
                      <w:highlight w:val="none"/>
                      <w:lang w:val="en-US" w:eastAsia="zh-CN"/>
                      <w14:textFill>
                        <w14:solidFill>
                          <w14:schemeClr w14:val="tx1"/>
                        </w14:solidFill>
                      </w14:textFill>
                    </w:rPr>
                    <w:t>0.12</w:t>
                  </w:r>
                  <w:r>
                    <w:rPr>
                      <w:rFonts w:hint="eastAsia" w:cs="Times New Roman"/>
                      <w:bCs/>
                      <w:color w:val="000000" w:themeColor="text1"/>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-0.1</w:t>
                  </w:r>
                  <w:r>
                    <w:rPr>
                      <w:rFonts w:hint="eastAsia" w:cs="Times New Roman"/>
                      <w:bCs/>
                      <w:color w:val="000000" w:themeColor="text1"/>
                      <w:szCs w:val="21"/>
                      <w:highlight w:val="none"/>
                      <w:lang w:val="en-US" w:eastAsia="zh-CN"/>
                      <w14:textFill>
                        <w14:solidFill>
                          <w14:schemeClr w14:val="tx1"/>
                        </w14:solidFill>
                      </w14:textFill>
                    </w:rPr>
                    <w:t>53</w:t>
                  </w:r>
                </w:p>
              </w:tc>
              <w:tc>
                <w:tcPr>
                  <w:tcW w:w="882" w:type="dxa"/>
                  <w:tcBorders>
                    <w:top w:val="single" w:color="auto" w:sz="4" w:space="0"/>
                    <w:bottom w:val="single" w:color="auto" w:sz="4" w:space="0"/>
                  </w:tcBorders>
                  <w:noWrap w:val="0"/>
                  <w:vAlign w:val="center"/>
                </w:tcPr>
                <w:p w14:paraId="58E56753">
                  <w:pPr>
                    <w:shd w:val="clear"/>
                    <w:snapToGrid w:val="0"/>
                    <w:spacing w:line="240" w:lineRule="auto"/>
                    <w:jc w:val="center"/>
                    <w:rPr>
                      <w:rFonts w:hint="default" w:ascii="Times New Roman" w:hAnsi="Times New Roman" w:eastAsia="宋体" w:cs="Times New Roman"/>
                      <w:color w:val="000000" w:themeColor="text1"/>
                      <w:szCs w:val="21"/>
                      <w:highlight w:val="none"/>
                      <w:lang w:val="en-US" w:eastAsia="zh-CN" w:bidi="ar"/>
                      <w14:textFill>
                        <w14:solidFill>
                          <w14:schemeClr w14:val="tx1"/>
                        </w14:solidFill>
                      </w14:textFill>
                    </w:rPr>
                  </w:pPr>
                  <w:r>
                    <w:rPr>
                      <w:rFonts w:hint="eastAsia" w:cs="Times New Roman"/>
                      <w:color w:val="000000" w:themeColor="text1"/>
                      <w:szCs w:val="21"/>
                      <w:highlight w:val="none"/>
                      <w:lang w:val="en-US" w:eastAsia="zh-CN" w:bidi="ar"/>
                      <w14:textFill>
                        <w14:solidFill>
                          <w14:schemeClr w14:val="tx1"/>
                        </w14:solidFill>
                      </w14:textFill>
                    </w:rPr>
                    <w:t>51</w:t>
                  </w:r>
                </w:p>
              </w:tc>
              <w:tc>
                <w:tcPr>
                  <w:tcW w:w="666" w:type="dxa"/>
                  <w:tcBorders>
                    <w:top w:val="single" w:color="auto" w:sz="4" w:space="0"/>
                    <w:left w:val="single" w:color="auto" w:sz="4" w:space="0"/>
                    <w:bottom w:val="single" w:color="auto" w:sz="4" w:space="0"/>
                    <w:right w:val="single" w:color="auto" w:sz="4" w:space="0"/>
                  </w:tcBorders>
                  <w:noWrap w:val="0"/>
                  <w:vAlign w:val="center"/>
                </w:tcPr>
                <w:p w14:paraId="3DAA66E3">
                  <w:pPr>
                    <w:shd w:val="clear"/>
                    <w:snapToGrid w:val="0"/>
                    <w:spacing w:line="240" w:lineRule="auto"/>
                    <w:jc w:val="center"/>
                    <w:rPr>
                      <w:rFonts w:hint="default" w:ascii="Times New Roman" w:hAnsi="Times New Roman" w:eastAsia="宋体" w:cs="Times New Roman"/>
                      <w:color w:val="000000" w:themeColor="text1"/>
                      <w:szCs w:val="21"/>
                      <w:highlight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0</w:t>
                  </w:r>
                </w:p>
              </w:tc>
              <w:tc>
                <w:tcPr>
                  <w:tcW w:w="892" w:type="dxa"/>
                  <w:tcBorders>
                    <w:top w:val="single" w:color="auto" w:sz="4" w:space="0"/>
                    <w:left w:val="single" w:color="auto" w:sz="4" w:space="0"/>
                    <w:right w:val="single" w:color="auto" w:sz="4" w:space="0"/>
                  </w:tcBorders>
                  <w:noWrap w:val="0"/>
                  <w:vAlign w:val="center"/>
                </w:tcPr>
                <w:p w14:paraId="701D6555">
                  <w:pPr>
                    <w:shd w:val="clear"/>
                    <w:spacing w:line="240" w:lineRule="auto"/>
                    <w:jc w:val="center"/>
                    <w:rPr>
                      <w:rFonts w:hint="default" w:ascii="Times New Roman" w:hAnsi="Times New Roman" w:eastAsia="宋体" w:cs="Times New Roman"/>
                      <w:color w:val="000000" w:themeColor="text1"/>
                      <w:szCs w:val="21"/>
                      <w:highlight w:val="none"/>
                      <w:lang w:val="en-US" w:eastAsia="zh-CN" w:bidi="ar"/>
                      <w14:textFill>
                        <w14:solidFill>
                          <w14:schemeClr w14:val="tx1"/>
                        </w14:solidFill>
                      </w14:textFill>
                    </w:rPr>
                  </w:pPr>
                  <w:r>
                    <w:rPr>
                      <w:rFonts w:hint="eastAsia" w:cs="Times New Roman"/>
                      <w:color w:val="000000" w:themeColor="text1"/>
                      <w:szCs w:val="21"/>
                      <w:highlight w:val="none"/>
                      <w:lang w:val="en-US" w:eastAsia="zh-CN" w:bidi="ar"/>
                      <w14:textFill>
                        <w14:solidFill>
                          <w14:schemeClr w14:val="tx1"/>
                        </w14:solidFill>
                      </w14:textFill>
                    </w:rPr>
                    <w:t>东南</w:t>
                  </w:r>
                </w:p>
              </w:tc>
              <w:tc>
                <w:tcPr>
                  <w:tcW w:w="1000" w:type="dxa"/>
                  <w:tcBorders>
                    <w:top w:val="single" w:color="auto" w:sz="4" w:space="0"/>
                    <w:left w:val="single" w:color="auto" w:sz="4" w:space="0"/>
                    <w:right w:val="single" w:color="auto" w:sz="4" w:space="0"/>
                  </w:tcBorders>
                  <w:noWrap w:val="0"/>
                  <w:vAlign w:val="center"/>
                </w:tcPr>
                <w:p w14:paraId="4ECEBD81">
                  <w:pPr>
                    <w:shd w:val="clear"/>
                    <w:spacing w:line="240" w:lineRule="auto"/>
                    <w:jc w:val="center"/>
                    <w:rPr>
                      <w:rFonts w:hint="default" w:ascii="Times New Roman" w:hAnsi="Times New Roman" w:eastAsia="宋体" w:cs="Times New Roman"/>
                      <w:color w:val="000000" w:themeColor="text1"/>
                      <w:szCs w:val="21"/>
                      <w:highlight w:val="none"/>
                      <w:lang w:val="en-US" w:eastAsia="zh-CN" w:bidi="ar"/>
                      <w14:textFill>
                        <w14:solidFill>
                          <w14:schemeClr w14:val="tx1"/>
                        </w14:solidFill>
                      </w14:textFill>
                    </w:rPr>
                  </w:pPr>
                  <w:r>
                    <w:rPr>
                      <w:rFonts w:hint="eastAsia" w:cs="Times New Roman"/>
                      <w:color w:val="000000" w:themeColor="text1"/>
                      <w:szCs w:val="21"/>
                      <w:highlight w:val="none"/>
                      <w:lang w:val="en-US" w:eastAsia="zh-CN" w:bidi="ar"/>
                      <w14:textFill>
                        <w14:solidFill>
                          <w14:schemeClr w14:val="tx1"/>
                        </w14:solidFill>
                      </w14:textFill>
                    </w:rPr>
                    <w:t>0.877</w:t>
                  </w:r>
                </w:p>
              </w:tc>
            </w:tr>
          </w:tbl>
          <w:p w14:paraId="5BBA3BC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从监测结果看出，TSP符合《环境空气质量标准》（GB 3095-20</w:t>
            </w:r>
            <w:r>
              <w:rPr>
                <w:rFonts w:hint="eastAsia" w:ascii="宋体" w:hAnsi="宋体" w:cs="宋体"/>
                <w:color w:val="000000" w:themeColor="text1"/>
                <w:kern w:val="0"/>
                <w:sz w:val="21"/>
                <w:szCs w:val="21"/>
                <w:lang w:val="en-US" w:eastAsia="zh-CN" w:bidi="ar"/>
                <w14:textFill>
                  <w14:solidFill>
                    <w14:schemeClr w14:val="tx1"/>
                  </w14:solidFill>
                </w14:textFill>
              </w:rPr>
              <w:t>26</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eastAsia" w:ascii="宋体" w:hAnsi="宋体" w:cs="宋体"/>
                <w:color w:val="000000" w:themeColor="text1"/>
                <w:kern w:val="0"/>
                <w:sz w:val="21"/>
                <w:szCs w:val="21"/>
                <w:lang w:val="en-US" w:eastAsia="zh-CN" w:bidi="ar"/>
                <w14:textFill>
                  <w14:solidFill>
                    <w14:schemeClr w14:val="tx1"/>
                  </w14:solidFill>
                </w14:textFill>
              </w:rPr>
              <w:t>过渡阶段</w:t>
            </w:r>
            <w:r>
              <w:rPr>
                <w:rFonts w:hint="eastAsia" w:ascii="宋体" w:hAnsi="宋体" w:eastAsia="宋体" w:cs="宋体"/>
                <w:color w:val="000000" w:themeColor="text1"/>
                <w:kern w:val="0"/>
                <w:sz w:val="21"/>
                <w:szCs w:val="21"/>
                <w:lang w:val="en-US" w:eastAsia="zh-CN" w:bidi="ar"/>
                <w14:textFill>
                  <w14:solidFill>
                    <w14:schemeClr w14:val="tx1"/>
                  </w14:solidFill>
                </w14:textFill>
              </w:rPr>
              <w:t>二级标准。从监测结果看，该区域大气环境质量较好。</w:t>
            </w:r>
          </w:p>
          <w:p w14:paraId="43FF514B">
            <w:pPr>
              <w:shd w:val="clear"/>
              <w:spacing w:line="360" w:lineRule="auto"/>
              <w:ind w:firstLine="482" w:firstLineChars="200"/>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二、水环境质量现状</w:t>
            </w:r>
          </w:p>
          <w:p w14:paraId="3C39ECB4">
            <w:pPr>
              <w:pStyle w:val="14"/>
              <w:ind w:firstLine="420"/>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项目生活污水经三级化粪池预处理达到广东省地方标准《水污染物排放限值》（DB44/26-2001）（第二时段）三级标准后经市政管网排入中山市南朗镇水务有限公司进行处理，中山市南朗镇水务有限公司处理达标后排入涌口门上涌，最终排入横门水道</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p w14:paraId="208690D7">
            <w:pPr>
              <w:pStyle w:val="14"/>
              <w:ind w:firstLine="420"/>
              <w:rPr>
                <w:rFonts w:hint="default" w:ascii="Times New Roman" w:hAnsi="Times New Roman" w:cs="Times New Roman"/>
                <w:color w:val="000000" w:themeColor="text1"/>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14:textFill>
                  <w14:solidFill>
                    <w14:schemeClr w14:val="tx1"/>
                  </w14:solidFill>
                </w14:textFill>
              </w:rPr>
              <w:t>根据《中山市水功能区管理办法》（中府[2008]96号），</w:t>
            </w:r>
            <w:r>
              <w:rPr>
                <w:rFonts w:hint="default" w:ascii="Times New Roman" w:hAnsi="Times New Roman" w:cs="Times New Roman"/>
                <w:color w:val="000000" w:themeColor="text1"/>
                <w:sz w:val="21"/>
                <w:szCs w:val="21"/>
                <w:highlight w:val="none"/>
                <w14:textFill>
                  <w14:solidFill>
                    <w14:schemeClr w14:val="tx1"/>
                  </w14:solidFill>
                </w14:textFill>
              </w:rPr>
              <w:t>涌口门上涌属于</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IV</w:t>
            </w:r>
            <w:r>
              <w:rPr>
                <w:rFonts w:hint="default" w:ascii="Times New Roman" w:hAnsi="Times New Roman" w:cs="Times New Roman"/>
                <w:color w:val="000000" w:themeColor="text1"/>
                <w:sz w:val="21"/>
                <w:szCs w:val="21"/>
                <w:highlight w:val="none"/>
                <w14:textFill>
                  <w14:solidFill>
                    <w14:schemeClr w14:val="tx1"/>
                  </w14:solidFill>
                </w14:textFill>
              </w:rPr>
              <w:t>类功能水体</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水环境质量执行《地表水环境质量标准》（GB3838-2002）Ⅳ类标准</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zh-CN"/>
                <w14:textFill>
                  <w14:solidFill>
                    <w14:schemeClr w14:val="tx1"/>
                  </w14:solidFill>
                </w14:textFill>
              </w:rPr>
              <w:t>横门水道</w:t>
            </w:r>
            <w:r>
              <w:rPr>
                <w:rFonts w:hint="default" w:ascii="Times New Roman" w:hAnsi="Times New Roman" w:cs="Times New Roman"/>
                <w:color w:val="000000" w:themeColor="text1"/>
                <w:sz w:val="21"/>
                <w:szCs w:val="21"/>
                <w:highlight w:val="none"/>
                <w14:textFill>
                  <w14:solidFill>
                    <w14:schemeClr w14:val="tx1"/>
                  </w14:solidFill>
                </w14:textFill>
              </w:rPr>
              <w:t>属于</w:t>
            </w:r>
            <w:r>
              <w:rPr>
                <w:rFonts w:hint="default" w:ascii="Times New Roman" w:hAnsi="Times New Roman"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cs="Times New Roman"/>
                <w:color w:val="000000" w:themeColor="text1"/>
                <w:sz w:val="21"/>
                <w:szCs w:val="21"/>
                <w:highlight w:val="none"/>
                <w14:textFill>
                  <w14:solidFill>
                    <w14:schemeClr w14:val="tx1"/>
                  </w14:solidFill>
                </w14:textFill>
              </w:rPr>
              <w:instrText xml:space="preserve"> = 3 \* ROMAN \* MERGEFORMAT </w:instrText>
            </w:r>
            <w:r>
              <w:rPr>
                <w:rFonts w:hint="default" w:ascii="Times New Roman" w:hAnsi="Times New Roman"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III</w:t>
            </w:r>
            <w:r>
              <w:rPr>
                <w:rFonts w:hint="default" w:ascii="Times New Roman" w:hAnsi="Times New Roman" w:cs="Times New Roman"/>
                <w:color w:val="000000" w:themeColor="text1"/>
                <w:sz w:val="21"/>
                <w:szCs w:val="21"/>
                <w:highlight w:val="none"/>
                <w14:textFill>
                  <w14:solidFill>
                    <w14:schemeClr w14:val="tx1"/>
                  </w14:solidFill>
                </w14:textFill>
              </w:rPr>
              <w:fldChar w:fldCharType="end"/>
            </w:r>
            <w:r>
              <w:rPr>
                <w:rFonts w:hint="default" w:ascii="Times New Roman" w:hAnsi="Times New Roman" w:cs="Times New Roman"/>
                <w:color w:val="000000" w:themeColor="text1"/>
                <w:sz w:val="21"/>
                <w:szCs w:val="21"/>
                <w:highlight w:val="none"/>
                <w14:textFill>
                  <w14:solidFill>
                    <w14:schemeClr w14:val="tx1"/>
                  </w14:solidFill>
                </w14:textFill>
              </w:rPr>
              <w:t>类功能水体，执行《地表水环境质量标准》（GB3838-2002）</w:t>
            </w:r>
            <w:r>
              <w:rPr>
                <w:rFonts w:hint="default" w:ascii="Times New Roman" w:hAnsi="Times New Roman"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cs="Times New Roman"/>
                <w:color w:val="000000" w:themeColor="text1"/>
                <w:sz w:val="21"/>
                <w:szCs w:val="21"/>
                <w:highlight w:val="none"/>
                <w14:textFill>
                  <w14:solidFill>
                    <w14:schemeClr w14:val="tx1"/>
                  </w14:solidFill>
                </w14:textFill>
              </w:rPr>
              <w:instrText xml:space="preserve"> = 3 \* ROMAN \* MERGEFORMAT </w:instrText>
            </w:r>
            <w:r>
              <w:rPr>
                <w:rFonts w:hint="default" w:ascii="Times New Roman" w:hAnsi="Times New Roman"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III</w:t>
            </w:r>
            <w:r>
              <w:rPr>
                <w:rFonts w:hint="default" w:ascii="Times New Roman" w:hAnsi="Times New Roman" w:cs="Times New Roman"/>
                <w:color w:val="000000" w:themeColor="text1"/>
                <w:sz w:val="21"/>
                <w:szCs w:val="21"/>
                <w:highlight w:val="none"/>
                <w14:textFill>
                  <w14:solidFill>
                    <w14:schemeClr w14:val="tx1"/>
                  </w14:solidFill>
                </w14:textFill>
              </w:rPr>
              <w:fldChar w:fldCharType="end"/>
            </w:r>
            <w:r>
              <w:rPr>
                <w:rFonts w:hint="default" w:ascii="Times New Roman" w:hAnsi="Times New Roman" w:cs="Times New Roman"/>
                <w:color w:val="000000" w:themeColor="text1"/>
                <w:sz w:val="21"/>
                <w:szCs w:val="21"/>
                <w:highlight w:val="none"/>
                <w14:textFill>
                  <w14:solidFill>
                    <w14:schemeClr w14:val="tx1"/>
                  </w14:solidFill>
                </w14:textFill>
              </w:rPr>
              <w:t>类标准。</w:t>
            </w:r>
            <w:r>
              <w:rPr>
                <w:rFonts w:hint="default" w:ascii="Times New Roman" w:hAnsi="Times New Roman" w:eastAsia="宋体" w:cs="Times New Roman"/>
                <w:color w:val="000000" w:themeColor="text1"/>
                <w:sz w:val="21"/>
                <w:szCs w:val="21"/>
                <w:highlight w:val="none"/>
                <w:lang w:val="zh-CN"/>
                <w14:textFill>
                  <w14:solidFill>
                    <w14:schemeClr w14:val="tx1"/>
                  </w14:solidFill>
                </w14:textFill>
              </w:rPr>
              <w:t>根据《202</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val="zh-CN"/>
                <w14:textFill>
                  <w14:solidFill>
                    <w14:schemeClr w14:val="tx1"/>
                  </w14:solidFill>
                </w14:textFill>
              </w:rPr>
              <w:t>年中山市生态环境质量报告书》（公众版），</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202</w:t>
            </w:r>
            <w:r>
              <w:rPr>
                <w:rFonts w:hint="eastAsia" w:cs="Times New Roman"/>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年横门</w:t>
            </w:r>
            <w:r>
              <w:rPr>
                <w:rFonts w:hint="default" w:ascii="Times New Roman" w:hAnsi="Times New Roman" w:eastAsia="宋体" w:cs="Times New Roman"/>
                <w:color w:val="000000" w:themeColor="text1"/>
                <w:sz w:val="21"/>
                <w:szCs w:val="21"/>
                <w:highlight w:val="none"/>
                <w:lang w:val="zh-CN"/>
                <w14:textFill>
                  <w14:solidFill>
                    <w14:schemeClr w14:val="tx1"/>
                  </w14:solidFill>
                </w14:textFill>
              </w:rPr>
              <w:t>水道水质达到II类标准，水质状况为优</w:t>
            </w:r>
            <w:r>
              <w:rPr>
                <w:rFonts w:hint="eastAsia" w:ascii="Times New Roman" w:hAnsi="Times New Roman" w:eastAsia="宋体" w:cs="Times New Roman"/>
                <w:color w:val="000000" w:themeColor="text1"/>
                <w:sz w:val="21"/>
                <w:szCs w:val="21"/>
                <w:highlight w:val="none"/>
                <w:lang w:val="zh-CN"/>
                <w14:textFill>
                  <w14:solidFill>
                    <w14:schemeClr w14:val="tx1"/>
                  </w14:solidFill>
                </w14:textFill>
              </w:rPr>
              <w:t>。</w:t>
            </w:r>
          </w:p>
          <w:p w14:paraId="1006C86D">
            <w:pPr>
              <w:shd w:val="clear"/>
              <w:spacing w:line="360" w:lineRule="auto"/>
              <w:jc w:val="center"/>
              <w:rPr>
                <w:rFonts w:hint="default" w:ascii="Times New Roman" w:hAnsi="Times New Roman" w:eastAsia="宋体" w:cs="Times New Roman"/>
                <w:color w:val="000000" w:themeColor="text1"/>
                <w:sz w:val="24"/>
                <w:szCs w:val="24"/>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CN" w:eastAsia="zh-CN"/>
                <w14:textFill>
                  <w14:solidFill>
                    <w14:schemeClr w14:val="tx1"/>
                  </w14:solidFill>
                </w14:textFill>
              </w:rPr>
              <w:drawing>
                <wp:inline distT="0" distB="0" distL="114300" distR="114300">
                  <wp:extent cx="4638675" cy="6153150"/>
                  <wp:effectExtent l="0" t="0" r="9525" b="0"/>
                  <wp:docPr id="2" name="图片 2" descr="8d555365-ea46-4f90-a3ae-ba667fb5dc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d555365-ea46-4f90-a3ae-ba667fb5dc22"/>
                          <pic:cNvPicPr>
                            <a:picLocks noChangeAspect="1"/>
                          </pic:cNvPicPr>
                        </pic:nvPicPr>
                        <pic:blipFill>
                          <a:blip r:embed="rId22"/>
                          <a:stretch>
                            <a:fillRect/>
                          </a:stretch>
                        </pic:blipFill>
                        <pic:spPr>
                          <a:xfrm>
                            <a:off x="0" y="0"/>
                            <a:ext cx="4638675" cy="6153150"/>
                          </a:xfrm>
                          <a:prstGeom prst="rect">
                            <a:avLst/>
                          </a:prstGeom>
                        </pic:spPr>
                      </pic:pic>
                    </a:graphicData>
                  </a:graphic>
                </wp:inline>
              </w:drawing>
            </w:r>
          </w:p>
          <w:p w14:paraId="5F4CD56E">
            <w:pPr>
              <w:pStyle w:val="14"/>
              <w:shd w:val="clear"/>
              <w:ind w:firstLine="422"/>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三、声环境质量现状</w:t>
            </w:r>
          </w:p>
          <w:p w14:paraId="3B11A755">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根据《声环境功能区划分技术规范》（GB/T15190-2014）及《中山市声环境功能区划方案》（2021年修编），项目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四周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厂界执行国家《声环境质量标准》（GB3096-2008）中3类标准，3类厂界噪声值标准为昼间65dB（A）</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，夜间</w:t>
            </w:r>
            <w:r>
              <w:rPr>
                <w:rFonts w:hint="eastAsia" w:cs="Times New Roman"/>
                <w:color w:val="000000" w:themeColor="text1"/>
                <w:sz w:val="21"/>
                <w:szCs w:val="21"/>
                <w:highlight w:val="none"/>
                <w:lang w:val="en-US" w:eastAsia="zh-CN"/>
                <w14:textFill>
                  <w14:solidFill>
                    <w14:schemeClr w14:val="tx1"/>
                  </w14:solidFill>
                </w14:textFill>
              </w:rPr>
              <w:t>不生产。</w:t>
            </w:r>
          </w:p>
          <w:p w14:paraId="1B9877B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项目周边</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50</w:t>
            </w:r>
            <w:r>
              <w:rPr>
                <w:rFonts w:hint="eastAsia" w:ascii="宋体" w:hAnsi="宋体" w:eastAsia="宋体" w:cs="宋体"/>
                <w:color w:val="000000" w:themeColor="text1"/>
                <w:kern w:val="0"/>
                <w:sz w:val="21"/>
                <w:szCs w:val="21"/>
                <w:lang w:val="en-US" w:eastAsia="zh-CN" w:bidi="ar"/>
                <w14:textFill>
                  <w14:solidFill>
                    <w14:schemeClr w14:val="tx1"/>
                  </w14:solidFill>
                </w14:textFill>
              </w:rPr>
              <w:t>米范围内不存在敏感点，不开展声环境质量现状监测。</w:t>
            </w:r>
          </w:p>
          <w:p w14:paraId="315E24D1">
            <w:pPr>
              <w:pStyle w:val="18"/>
              <w:shd w:val="clear"/>
              <w:spacing w:before="0" w:beforeLines="0"/>
              <w:ind w:firstLine="422"/>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四、地下水及土壤环境质量现状</w:t>
            </w:r>
          </w:p>
          <w:p w14:paraId="3B2351A2">
            <w:pPr>
              <w:shd w:val="clear"/>
              <w:spacing w:line="360" w:lineRule="auto"/>
              <w:ind w:firstLine="420" w:firstLineChars="20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项目不开采地下水，生产过程不涉及重金属污染工序，无有毒有害物质产生，项目厂界外500米</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评价</w:t>
            </w:r>
            <w:r>
              <w:rPr>
                <w:rFonts w:hint="default" w:ascii="Times New Roman" w:hAnsi="Times New Roman" w:eastAsia="宋体" w:cs="Times New Roman"/>
                <w:color w:val="000000" w:themeColor="text1"/>
                <w:sz w:val="21"/>
                <w:szCs w:val="21"/>
                <w:highlight w:val="none"/>
                <w14:textFill>
                  <w14:solidFill>
                    <w14:schemeClr w14:val="tx1"/>
                  </w14:solidFill>
                </w14:textFill>
              </w:rPr>
              <w:t>范围内</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无地下水集中式饮用水源和热水、矿泉水、温泉等特殊地下水资源等保护目标。</w:t>
            </w:r>
            <w:r>
              <w:rPr>
                <w:rFonts w:hint="default" w:ascii="Times New Roman" w:hAnsi="Times New Roman" w:eastAsia="宋体" w:cs="Times New Roman"/>
                <w:color w:val="000000" w:themeColor="text1"/>
                <w:sz w:val="21"/>
                <w:szCs w:val="21"/>
                <w:highlight w:val="none"/>
                <w14:textFill>
                  <w14:solidFill>
                    <w14:schemeClr w14:val="tx1"/>
                  </w14:solidFill>
                </w14:textFill>
              </w:rPr>
              <w:t>项目可能产生地下水及土壤污染的途径主要包括以下几个方面：</w:t>
            </w:r>
          </w:p>
          <w:p w14:paraId="17556E87">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①生活污水</w:t>
            </w:r>
            <w:r>
              <w:rPr>
                <w:rFonts w:hint="eastAsia" w:cs="Times New Roman"/>
                <w:color w:val="000000" w:themeColor="text1"/>
                <w:sz w:val="21"/>
                <w:szCs w:val="21"/>
                <w:highlight w:val="none"/>
                <w:lang w:val="zh-CN"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生产废水</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泄漏；</w:t>
            </w:r>
          </w:p>
          <w:p w14:paraId="294313CB">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②液态化学品运输使用过程的泄漏；</w:t>
            </w:r>
          </w:p>
          <w:p w14:paraId="2AF0B3CC">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③一般固体废物暂存间或危废暂存间的渗滤液的下渗；</w:t>
            </w:r>
          </w:p>
          <w:p w14:paraId="0F6F01A2">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④生产过程产生的废气大气沉降，导致土壤的污染；</w:t>
            </w:r>
          </w:p>
          <w:p w14:paraId="7155E47C">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针对以上几种污染途径做出以下几点防治措施：</w:t>
            </w:r>
          </w:p>
          <w:p w14:paraId="47BF7BE2">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eastAsia"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①生活污水经化粪池预处理后经市政管网排入</w:t>
            </w:r>
            <w:r>
              <w:rPr>
                <w:rFonts w:hint="default" w:ascii="Times New Roman" w:hAnsi="Times New Roman" w:cs="Times New Roman"/>
                <w:color w:val="000000" w:themeColor="text1"/>
                <w:sz w:val="21"/>
                <w:szCs w:val="21"/>
                <w:highlight w:val="none"/>
                <w:lang w:val="zh-CN" w:eastAsia="zh-CN"/>
                <w14:textFill>
                  <w14:solidFill>
                    <w14:schemeClr w14:val="tx1"/>
                  </w14:solidFill>
                </w14:textFill>
              </w:rPr>
              <w:t>中山市南朗镇水务有限公司</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集中</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处理</w:t>
            </w:r>
            <w:r>
              <w:rPr>
                <w:rFonts w:hint="eastAsia" w:cs="Times New Roman"/>
                <w:color w:val="000000" w:themeColor="text1"/>
                <w:sz w:val="21"/>
                <w:szCs w:val="21"/>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生产废水经废水暂存</w:t>
            </w:r>
            <w:r>
              <w:rPr>
                <w:rFonts w:hint="eastAsia" w:cs="Times New Roman"/>
                <w:color w:val="000000" w:themeColor="text1"/>
                <w:sz w:val="21"/>
                <w:szCs w:val="21"/>
                <w:highlight w:val="none"/>
                <w:lang w:val="en-US" w:eastAsia="zh-CN"/>
                <w14:textFill>
                  <w14:solidFill>
                    <w14:schemeClr w14:val="tx1"/>
                  </w14:solidFill>
                </w14:textFill>
              </w:rPr>
              <w:t>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进行储存，周边设置围堰，项目厂区内地面为混凝土硬化地面</w:t>
            </w:r>
            <w:r>
              <w:rPr>
                <w:rFonts w:hint="eastAsia" w:cs="Times New Roman"/>
                <w:color w:val="000000" w:themeColor="text1"/>
                <w:sz w:val="21"/>
                <w:szCs w:val="21"/>
                <w:highlight w:val="none"/>
                <w:lang w:val="zh-CN" w:eastAsia="zh-CN"/>
                <w14:textFill>
                  <w14:solidFill>
                    <w14:schemeClr w14:val="tx1"/>
                  </w14:solidFill>
                </w14:textFill>
              </w:rPr>
              <w:t>。</w:t>
            </w:r>
          </w:p>
          <w:p w14:paraId="3E0A8381">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②</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化学品仓</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采取严格的分区防腐防渗措施，防止因事故消防废水漫流通过下渗污染项目区周围地下水环境，避免对地下水造成环境污染；</w:t>
            </w:r>
          </w:p>
          <w:p w14:paraId="6BE51BE6">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③</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项目于厂内设置一般固体堆放场用于储存一般固体废物，地面为混凝土结构，并在相应的位置做好相应的标识。必须采取防扬散、防流失、防渗漏或者其他防止污染环境的措施，不得擅自倾倒、堆放、丢弃、遗撒固体废物，且不能相容的固废要分开储存，并在相应的位置做好相应的标识。</w:t>
            </w:r>
          </w:p>
          <w:p w14:paraId="1ADAD94E">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④</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危险废物贮存于室内，不露天堆放，贮存场所按照《危险废物贮存污染控制标准》（GB18597</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2023）中的规定建设，设置防雨淋、防渗漏、防流失措施，以防止危险废物或其淋滤液渗入地下或进入地表水体而污染地下水。</w:t>
            </w:r>
          </w:p>
          <w:p w14:paraId="3C5714E3">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⑤</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项目熔融、压铸、脱模废气集气罩收集、液化石油气燃烧废气经管道收集，收集后的废气经水喷淋装置处理后排气筒有组织排放；</w:t>
            </w:r>
            <w:r>
              <w:rPr>
                <w:rFonts w:hint="eastAsia" w:cs="Times New Roman"/>
                <w:color w:val="000000" w:themeColor="text1"/>
                <w:sz w:val="21"/>
                <w:szCs w:val="21"/>
                <w:highlight w:val="none"/>
                <w:lang w:val="en-US" w:eastAsia="zh-CN"/>
                <w14:textFill>
                  <w14:solidFill>
                    <w14:schemeClr w14:val="tx1"/>
                  </w14:solidFill>
                </w14:textFill>
              </w:rPr>
              <w:t>钻孔攻牙</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废气产生的非甲烷总烃和臭气浓度无组织排放；研磨废气产生的颗粒物无组织排放；抛光废气产生的颗粒物无组织排放</w:t>
            </w:r>
            <w:r>
              <w:rPr>
                <w:rFonts w:hint="eastAsia" w:cs="Times New Roman"/>
                <w:color w:val="000000" w:themeColor="text1"/>
                <w:sz w:val="21"/>
                <w:szCs w:val="21"/>
                <w:highlight w:val="none"/>
                <w:lang w:val="en-US" w:eastAsia="zh-CN"/>
                <w14:textFill>
                  <w14:solidFill>
                    <w14:schemeClr w14:val="tx1"/>
                  </w14:solidFill>
                </w14:textFill>
              </w:rPr>
              <w:t>；机加工废气产生的非甲烷总烃、臭气浓度和颗粒物无组织排放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28C7AFFA">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根据生态环境部“关于土壤破坏性监测问题”的回复。“根据建设项目实际情况，如果项目场地已经做了防腐防渗（包括硬化）处理无法取样，可不取样监测，但需详细说明无法取样原因”。根据广东省生态环境厅对“建设项目用地范围内已全部硬地化，不具备采样监测条件的，可采取拍照证明并在环评文件中体现，不进行厂区内用地范围的土壤现状监测”。</w:t>
            </w:r>
          </w:p>
          <w:p w14:paraId="24A3C790">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根据现场勘查，项目厂房</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已建成</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，厂房内地面均为混凝土硬底化，因此不具备占地范围内土壤监测条件，各种地下水污染途径均经有效防治，不会对地下水环境造成较大的影响，不进行厂区土壤及地下水的环境质量现状监测。</w:t>
            </w:r>
          </w:p>
          <w:p w14:paraId="34F69A67">
            <w:pPr>
              <w:pStyle w:val="80"/>
              <w:shd w:val="clear"/>
              <w:spacing w:line="360" w:lineRule="auto"/>
              <w:ind w:firstLine="430"/>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五、生态环境</w:t>
            </w:r>
          </w:p>
          <w:p w14:paraId="10224388">
            <w:pPr>
              <w:shd w:val="clear"/>
              <w:adjustRightInd w:val="0"/>
              <w:snapToGrid w:val="0"/>
              <w:spacing w:line="360" w:lineRule="auto"/>
              <w:ind w:firstLine="420" w:firstLineChars="200"/>
              <w:jc w:val="left"/>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本项目建设项目用地范围内无生态环境保护目标，因此无需进行生态现状调查。</w:t>
            </w:r>
          </w:p>
          <w:p w14:paraId="47603B9B">
            <w:pPr>
              <w:pStyle w:val="80"/>
              <w:shd w:val="clear"/>
              <w:spacing w:line="360" w:lineRule="auto"/>
              <w:ind w:firstLine="430"/>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六、电磁辐射</w:t>
            </w:r>
          </w:p>
          <w:p w14:paraId="5B3BDEFA">
            <w:pPr>
              <w:shd w:val="clear"/>
              <w:adjustRightInd w:val="0"/>
              <w:snapToGrid w:val="0"/>
              <w:spacing w:line="360" w:lineRule="auto"/>
              <w:ind w:firstLine="420" w:firstLineChars="20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w:t>
            </w:r>
          </w:p>
        </w:tc>
      </w:tr>
      <w:tr w14:paraId="3B1832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1" w:type="dxa"/>
            <w:noWrap w:val="0"/>
            <w:vAlign w:val="center"/>
          </w:tcPr>
          <w:p w14:paraId="7C1963C9">
            <w:pPr>
              <w:shd w:val="clear"/>
              <w:adjustRightInd w:val="0"/>
              <w:snapToGrid w:val="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环境保护目标</w:t>
            </w:r>
          </w:p>
        </w:tc>
        <w:tc>
          <w:tcPr>
            <w:tcW w:w="8660" w:type="dxa"/>
            <w:noWrap w:val="0"/>
            <w:vAlign w:val="center"/>
          </w:tcPr>
          <w:p w14:paraId="7C8B086C">
            <w:pPr>
              <w:shd w:val="clear"/>
              <w:tabs>
                <w:tab w:val="left" w:pos="302"/>
              </w:tabs>
              <w:snapToGrid w:val="0"/>
              <w:spacing w:line="360" w:lineRule="auto"/>
              <w:ind w:firstLine="482" w:firstLineChars="200"/>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一、</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地表水</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保护目标</w:t>
            </w:r>
          </w:p>
          <w:p w14:paraId="5D27AFE3">
            <w:pPr>
              <w:shd w:val="clear"/>
              <w:tabs>
                <w:tab w:val="left" w:pos="302"/>
              </w:tabs>
              <w:snapToGrid w:val="0"/>
              <w:spacing w:line="360" w:lineRule="auto"/>
              <w:ind w:firstLine="420" w:firstLineChars="20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项目评价范围内无饮用水源保护区，水环境保护目标是在本项目建成后周围的河流水质不受明显的影响。本项目产生的生活污水经三级化粪池预处理后，经市政管网排入中山市南朗镇水务有限公司进行处理</w:t>
            </w:r>
            <w:r>
              <w:rPr>
                <w:rFonts w:hint="eastAsia" w:cs="Times New Roman"/>
                <w:color w:val="000000" w:themeColor="text1"/>
                <w:sz w:val="21"/>
                <w:szCs w:val="21"/>
                <w:highlight w:val="none"/>
                <w:lang w:val="en-US" w:eastAsia="zh-CN"/>
                <w14:textFill>
                  <w14:solidFill>
                    <w14:schemeClr w14:val="tx1"/>
                  </w14:solidFill>
                </w14:textFill>
              </w:rPr>
              <w:t>；生产废水定期交由有废水处理能力的公司转移处理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。因此本项目建成后不会对受纳水体涌口门上涌的水环境质量造成明显影响。</w:t>
            </w:r>
          </w:p>
          <w:p w14:paraId="2BE13C62">
            <w:pPr>
              <w:shd w:val="clear"/>
              <w:tabs>
                <w:tab w:val="left" w:pos="302"/>
              </w:tabs>
              <w:snapToGrid w:val="0"/>
              <w:spacing w:line="360" w:lineRule="auto"/>
              <w:ind w:firstLine="482" w:firstLineChars="200"/>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二、</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大气环境</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保护目标</w:t>
            </w:r>
          </w:p>
          <w:p w14:paraId="1361271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环境空气保护目标是周围地区的环境在项目建成后不受明显影响，保护该区域环境空气质量符合《环境空气质量标准》（GB3095-20</w:t>
            </w:r>
            <w:r>
              <w:rPr>
                <w:rFonts w:hint="eastAsia"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过渡阶段</w:t>
            </w:r>
            <w:r>
              <w:rPr>
                <w:rFonts w:hint="default" w:ascii="Times New Roman" w:hAnsi="Times New Roman" w:eastAsia="宋体" w:cs="Times New Roman"/>
                <w:color w:val="000000" w:themeColor="text1"/>
                <w:sz w:val="21"/>
                <w:szCs w:val="21"/>
                <w:highlight w:val="none"/>
                <w14:textFill>
                  <w14:solidFill>
                    <w14:schemeClr w14:val="tx1"/>
                  </w14:solidFill>
                </w14:textFill>
              </w:rPr>
              <w:t>二级标准。</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大气评价范围500米内大气环境敏感点情况见下表。</w:t>
            </w:r>
          </w:p>
          <w:p w14:paraId="4A8F505A">
            <w:pPr>
              <w:widowControl/>
              <w:numPr>
                <w:ilvl w:val="0"/>
                <w:numId w:val="0"/>
              </w:numPr>
              <w:spacing w:line="360" w:lineRule="auto"/>
              <w:contextualSpacing/>
              <w:jc w:val="cente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表16</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项目500米范围内大气环境敏感点一览表</w:t>
            </w:r>
          </w:p>
          <w:tbl>
            <w:tblPr>
              <w:tblStyle w:val="33"/>
              <w:tblW w:w="7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9"/>
              <w:gridCol w:w="814"/>
              <w:gridCol w:w="1037"/>
              <w:gridCol w:w="960"/>
              <w:gridCol w:w="840"/>
              <w:gridCol w:w="780"/>
              <w:gridCol w:w="1505"/>
              <w:gridCol w:w="707"/>
              <w:gridCol w:w="679"/>
            </w:tblGrid>
            <w:tr w14:paraId="7094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89" w:type="dxa"/>
                  <w:vMerge w:val="restart"/>
                  <w:noWrap w:val="0"/>
                  <w:vAlign w:val="center"/>
                </w:tcPr>
                <w:p w14:paraId="3822A0CD">
                  <w:pPr>
                    <w:pStyle w:val="48"/>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814" w:type="dxa"/>
                  <w:vMerge w:val="restart"/>
                  <w:noWrap w:val="0"/>
                  <w:vAlign w:val="center"/>
                </w:tcPr>
                <w:p w14:paraId="0FC2FAE3">
                  <w:pPr>
                    <w:pStyle w:val="48"/>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1997" w:type="dxa"/>
                  <w:gridSpan w:val="2"/>
                  <w:noWrap w:val="0"/>
                  <w:vAlign w:val="center"/>
                </w:tcPr>
                <w:p w14:paraId="1B4A18F0">
                  <w:pPr>
                    <w:pStyle w:val="48"/>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坐标</w:t>
                  </w:r>
                </w:p>
              </w:tc>
              <w:tc>
                <w:tcPr>
                  <w:tcW w:w="840" w:type="dxa"/>
                  <w:vMerge w:val="restart"/>
                  <w:noWrap w:val="0"/>
                  <w:vAlign w:val="center"/>
                </w:tcPr>
                <w:p w14:paraId="361E3C99">
                  <w:pPr>
                    <w:pStyle w:val="48"/>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保护对象</w:t>
                  </w:r>
                </w:p>
              </w:tc>
              <w:tc>
                <w:tcPr>
                  <w:tcW w:w="780" w:type="dxa"/>
                  <w:vMerge w:val="restart"/>
                  <w:noWrap w:val="0"/>
                  <w:vAlign w:val="center"/>
                </w:tcPr>
                <w:p w14:paraId="2E6634EB">
                  <w:pPr>
                    <w:pStyle w:val="48"/>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保护内容</w:t>
                  </w:r>
                </w:p>
              </w:tc>
              <w:tc>
                <w:tcPr>
                  <w:tcW w:w="1505" w:type="dxa"/>
                  <w:vMerge w:val="restart"/>
                  <w:noWrap w:val="0"/>
                  <w:vAlign w:val="center"/>
                </w:tcPr>
                <w:p w14:paraId="0B90D29F">
                  <w:pPr>
                    <w:pStyle w:val="48"/>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环境功能区</w:t>
                  </w:r>
                </w:p>
              </w:tc>
              <w:tc>
                <w:tcPr>
                  <w:tcW w:w="707" w:type="dxa"/>
                  <w:vMerge w:val="restart"/>
                  <w:noWrap w:val="0"/>
                  <w:vAlign w:val="center"/>
                </w:tcPr>
                <w:p w14:paraId="0A3A3089">
                  <w:pPr>
                    <w:pStyle w:val="48"/>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相对厂址方位</w:t>
                  </w:r>
                </w:p>
              </w:tc>
              <w:tc>
                <w:tcPr>
                  <w:tcW w:w="679" w:type="dxa"/>
                  <w:vMerge w:val="restart"/>
                  <w:noWrap w:val="0"/>
                  <w:vAlign w:val="center"/>
                </w:tcPr>
                <w:p w14:paraId="547B908A">
                  <w:pPr>
                    <w:pStyle w:val="48"/>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相对厂界距离/m</w:t>
                  </w:r>
                </w:p>
              </w:tc>
            </w:tr>
            <w:tr w14:paraId="3E57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89" w:type="dxa"/>
                  <w:vMerge w:val="continue"/>
                  <w:noWrap w:val="0"/>
                  <w:vAlign w:val="center"/>
                </w:tcPr>
                <w:p w14:paraId="46CFD18C">
                  <w:pPr>
                    <w:pStyle w:val="48"/>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14" w:type="dxa"/>
                  <w:vMerge w:val="continue"/>
                  <w:noWrap w:val="0"/>
                  <w:vAlign w:val="center"/>
                </w:tcPr>
                <w:p w14:paraId="1F433740">
                  <w:pPr>
                    <w:pStyle w:val="48"/>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37" w:type="dxa"/>
                  <w:noWrap w:val="0"/>
                  <w:vAlign w:val="center"/>
                </w:tcPr>
                <w:p w14:paraId="4B0271B1">
                  <w:pPr>
                    <w:pStyle w:val="48"/>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经度</w:t>
                  </w:r>
                </w:p>
              </w:tc>
              <w:tc>
                <w:tcPr>
                  <w:tcW w:w="960" w:type="dxa"/>
                  <w:noWrap w:val="0"/>
                  <w:vAlign w:val="center"/>
                </w:tcPr>
                <w:p w14:paraId="3C723A39">
                  <w:pPr>
                    <w:pStyle w:val="48"/>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纬度</w:t>
                  </w:r>
                </w:p>
              </w:tc>
              <w:tc>
                <w:tcPr>
                  <w:tcW w:w="840" w:type="dxa"/>
                  <w:vMerge w:val="continue"/>
                  <w:noWrap w:val="0"/>
                  <w:vAlign w:val="center"/>
                </w:tcPr>
                <w:p w14:paraId="17F95DBA">
                  <w:pPr>
                    <w:pStyle w:val="48"/>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80" w:type="dxa"/>
                  <w:vMerge w:val="continue"/>
                  <w:noWrap w:val="0"/>
                  <w:vAlign w:val="center"/>
                </w:tcPr>
                <w:p w14:paraId="5C6A4E0F">
                  <w:pPr>
                    <w:pStyle w:val="48"/>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05" w:type="dxa"/>
                  <w:vMerge w:val="continue"/>
                  <w:noWrap w:val="0"/>
                  <w:vAlign w:val="center"/>
                </w:tcPr>
                <w:p w14:paraId="6FC6F5C5">
                  <w:pPr>
                    <w:pStyle w:val="48"/>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07" w:type="dxa"/>
                  <w:vMerge w:val="continue"/>
                  <w:noWrap w:val="0"/>
                  <w:vAlign w:val="center"/>
                </w:tcPr>
                <w:p w14:paraId="7CE8F33A">
                  <w:pPr>
                    <w:pStyle w:val="48"/>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79" w:type="dxa"/>
                  <w:vMerge w:val="continue"/>
                  <w:noWrap w:val="0"/>
                  <w:vAlign w:val="center"/>
                </w:tcPr>
                <w:p w14:paraId="3A4E3B3B">
                  <w:pPr>
                    <w:pStyle w:val="48"/>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418F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89" w:type="dxa"/>
                  <w:noWrap w:val="0"/>
                  <w:vAlign w:val="center"/>
                </w:tcPr>
                <w:p w14:paraId="7CF9B94D">
                  <w:pPr>
                    <w:pStyle w:val="48"/>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814" w:type="dxa"/>
                  <w:noWrap w:val="0"/>
                  <w:vAlign w:val="center"/>
                </w:tcPr>
                <w:p w14:paraId="30E9BF95">
                  <w:pPr>
                    <w:pStyle w:val="48"/>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京珠高速公路广珠段改扩建管理处</w:t>
                  </w:r>
                </w:p>
              </w:tc>
              <w:tc>
                <w:tcPr>
                  <w:tcW w:w="1037" w:type="dxa"/>
                  <w:noWrap w:val="0"/>
                  <w:vAlign w:val="center"/>
                </w:tcPr>
                <w:p w14:paraId="2D9C0D96">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113.49096</w:t>
                  </w:r>
                </w:p>
              </w:tc>
              <w:tc>
                <w:tcPr>
                  <w:tcW w:w="960" w:type="dxa"/>
                  <w:noWrap w:val="0"/>
                  <w:vAlign w:val="center"/>
                </w:tcPr>
                <w:p w14:paraId="4266012A">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22.51696</w:t>
                  </w:r>
                </w:p>
              </w:tc>
              <w:tc>
                <w:tcPr>
                  <w:tcW w:w="840" w:type="dxa"/>
                  <w:noWrap w:val="0"/>
                  <w:vAlign w:val="center"/>
                </w:tcPr>
                <w:p w14:paraId="5192C441">
                  <w:pPr>
                    <w:pStyle w:val="48"/>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行政办公</w:t>
                  </w:r>
                </w:p>
              </w:tc>
              <w:tc>
                <w:tcPr>
                  <w:tcW w:w="780" w:type="dxa"/>
                  <w:noWrap w:val="0"/>
                  <w:vAlign w:val="center"/>
                </w:tcPr>
                <w:p w14:paraId="53715489">
                  <w:pPr>
                    <w:pStyle w:val="48"/>
                    <w:jc w:val="center"/>
                    <w:rPr>
                      <w:rFonts w:hint="eastAsia"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w:t>
                  </w:r>
                  <w:r>
                    <w:rPr>
                      <w:rFonts w:hint="eastAsia" w:ascii="Times New Roman" w:cs="Times New Roman"/>
                      <w:color w:val="000000" w:themeColor="text1"/>
                      <w:sz w:val="21"/>
                      <w:szCs w:val="21"/>
                      <w:highlight w:val="none"/>
                      <w:lang w:val="en-US" w:eastAsia="zh-CN"/>
                      <w14:textFill>
                        <w14:solidFill>
                          <w14:schemeClr w14:val="tx1"/>
                        </w14:solidFill>
                      </w14:textFill>
                    </w:rPr>
                    <w:t>环境</w:t>
                  </w:r>
                </w:p>
              </w:tc>
              <w:tc>
                <w:tcPr>
                  <w:tcW w:w="1505" w:type="dxa"/>
                  <w:noWrap w:val="0"/>
                  <w:vAlign w:val="center"/>
                </w:tcPr>
                <w:p w14:paraId="0C6B2668">
                  <w:pPr>
                    <w:pStyle w:val="48"/>
                    <w:keepNext w:val="0"/>
                    <w:keepLines w:val="0"/>
                    <w:pageBreakBefore w:val="0"/>
                    <w:widowControl w:val="0"/>
                    <w:kinsoku/>
                    <w:wordWrap w:val="0"/>
                    <w:overflowPunct w:val="0"/>
                    <w:bidi w:val="0"/>
                    <w:snapToGrid/>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《环境空气质量标准》(GB3095—20</w:t>
                  </w:r>
                  <w:r>
                    <w:rPr>
                      <w:rFonts w:hint="eastAsia" w:ascii="Times New Roman"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eastAsia" w:ascii="Times New Roman" w:cs="Times New Roman"/>
                      <w:color w:val="000000" w:themeColor="text1"/>
                      <w:sz w:val="21"/>
                      <w:szCs w:val="21"/>
                      <w:highlight w:val="none"/>
                      <w:lang w:val="en-US" w:eastAsia="zh-CN"/>
                      <w14:textFill>
                        <w14:solidFill>
                          <w14:schemeClr w14:val="tx1"/>
                        </w14:solidFill>
                      </w14:textFill>
                    </w:rPr>
                    <w:t>过渡阶段二类区</w:t>
                  </w:r>
                </w:p>
              </w:tc>
              <w:tc>
                <w:tcPr>
                  <w:tcW w:w="707" w:type="dxa"/>
                  <w:noWrap w:val="0"/>
                  <w:vAlign w:val="center"/>
                </w:tcPr>
                <w:p w14:paraId="0F293DDF">
                  <w:pPr>
                    <w:pStyle w:val="48"/>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西</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南</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面</w:t>
                  </w:r>
                </w:p>
              </w:tc>
              <w:tc>
                <w:tcPr>
                  <w:tcW w:w="679" w:type="dxa"/>
                  <w:noWrap w:val="0"/>
                  <w:vAlign w:val="center"/>
                </w:tcPr>
                <w:p w14:paraId="7E01CFD8">
                  <w:pPr>
                    <w:pStyle w:val="48"/>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231</w:t>
                  </w:r>
                </w:p>
              </w:tc>
            </w:tr>
          </w:tbl>
          <w:p w14:paraId="2DE288D8">
            <w:pPr>
              <w:shd w:val="clear"/>
              <w:tabs>
                <w:tab w:val="left" w:pos="302"/>
              </w:tabs>
              <w:snapToGrid w:val="0"/>
              <w:spacing w:line="360" w:lineRule="auto"/>
              <w:ind w:firstLine="498" w:firstLineChars="200"/>
              <w:rPr>
                <w:rFonts w:hint="default" w:ascii="Times New Roman" w:hAnsi="Times New Roman" w:eastAsia="宋体" w:cs="Times New Roman"/>
                <w:b/>
                <w:color w:val="000000" w:themeColor="text1"/>
                <w:spacing w:val="4"/>
                <w:sz w:val="24"/>
                <w:szCs w:val="24"/>
                <w:highlight w:val="none"/>
                <w14:textFill>
                  <w14:solidFill>
                    <w14:schemeClr w14:val="tx1"/>
                  </w14:solidFill>
                </w14:textFill>
              </w:rPr>
            </w:pPr>
            <w:r>
              <w:rPr>
                <w:rFonts w:hint="default" w:ascii="Times New Roman" w:hAnsi="Times New Roman" w:eastAsia="宋体" w:cs="Times New Roman"/>
                <w:b/>
                <w:color w:val="000000" w:themeColor="text1"/>
                <w:spacing w:val="4"/>
                <w:sz w:val="24"/>
                <w:szCs w:val="24"/>
                <w:highlight w:val="none"/>
                <w14:textFill>
                  <w14:solidFill>
                    <w14:schemeClr w14:val="tx1"/>
                  </w14:solidFill>
                </w14:textFill>
              </w:rPr>
              <w:t>三、声环境保护目标</w:t>
            </w:r>
          </w:p>
          <w:p w14:paraId="08903A6D">
            <w:pPr>
              <w:keepNext w:val="0"/>
              <w:keepLines w:val="0"/>
              <w:pageBreakBefore w:val="0"/>
              <w:widowControl/>
              <w:suppressLineNumbers w:val="0"/>
              <w:shd w:val="clear"/>
              <w:kinsoku/>
              <w:wordWrap w:val="0"/>
              <w:overflowPunct/>
              <w:topLinePunct w:val="0"/>
              <w:autoSpaceDE/>
              <w:autoSpaceDN/>
              <w:bidi w:val="0"/>
              <w:adjustRightInd/>
              <w:snapToGrid/>
              <w:spacing w:line="360" w:lineRule="auto"/>
              <w:ind w:firstLine="420" w:firstLineChars="200"/>
              <w:jc w:val="left"/>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t>本项目</w:t>
            </w:r>
            <w:r>
              <w:rPr>
                <w:rFonts w:hint="default" w:ascii="Times New Roman" w:hAnsi="Times New Roman" w:cs="Times New Roman"/>
                <w:color w:val="000000" w:themeColor="text1"/>
                <w:sz w:val="21"/>
                <w:szCs w:val="21"/>
                <w:highlight w:val="none"/>
                <w14:textFill>
                  <w14:solidFill>
                    <w14:schemeClr w14:val="tx1"/>
                  </w14:solidFill>
                </w14:textFill>
              </w:rPr>
              <w:t>声环境保护目标是确保项目声环境质量符合《声环境质量标准》（GB3096-2008）中的</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类（昼间噪声限值6</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dB（A）</w:t>
            </w:r>
            <w:r>
              <w:rPr>
                <w:rFonts w:hint="eastAsia"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夜间不生产)</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噪声</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评价范围50米内</w:t>
            </w:r>
            <w:r>
              <w:rPr>
                <w:rFonts w:hint="eastAsia" w:cs="Times New Roman"/>
                <w:color w:val="000000" w:themeColor="text1"/>
                <w:kern w:val="0"/>
                <w:sz w:val="21"/>
                <w:szCs w:val="21"/>
                <w:highlight w:val="none"/>
                <w:lang w:val="en-US" w:eastAsia="zh-CN" w:bidi="ar"/>
                <w14:textFill>
                  <w14:solidFill>
                    <w14:schemeClr w14:val="tx1"/>
                  </w14:solidFill>
                </w14:textFill>
              </w:rPr>
              <w:t>没有噪声</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环境</w:t>
            </w:r>
            <w:r>
              <w:rPr>
                <w:rFonts w:hint="eastAsia" w:cs="Times New Roman"/>
                <w:color w:val="000000" w:themeColor="text1"/>
                <w:kern w:val="0"/>
                <w:sz w:val="21"/>
                <w:szCs w:val="21"/>
                <w:highlight w:val="none"/>
                <w:lang w:val="en-US" w:eastAsia="zh-CN" w:bidi="ar"/>
                <w14:textFill>
                  <w14:solidFill>
                    <w14:schemeClr w14:val="tx1"/>
                  </w14:solidFill>
                </w14:textFill>
              </w:rPr>
              <w:t>保护目标。</w:t>
            </w:r>
          </w:p>
          <w:p w14:paraId="7D5740A4">
            <w:pPr>
              <w:pStyle w:val="18"/>
              <w:keepNext w:val="0"/>
              <w:keepLines w:val="0"/>
              <w:pageBreakBefore w:val="0"/>
              <w:shd w:val="clear"/>
              <w:kinsoku/>
              <w:wordWrap/>
              <w:overflowPunct/>
              <w:topLinePunct w:val="0"/>
              <w:autoSpaceDE/>
              <w:autoSpaceDN/>
              <w:bidi w:val="0"/>
              <w:snapToGrid w:val="0"/>
              <w:spacing w:before="0" w:after="0" w:line="360" w:lineRule="auto"/>
              <w:ind w:right="0" w:firstLine="430"/>
              <w:textAlignment w:val="auto"/>
              <w:rPr>
                <w:rFonts w:hint="default" w:ascii="Times New Roman" w:hAnsi="Times New Roman" w:eastAsia="宋体" w:cs="Times New Roman"/>
                <w:b/>
                <w:bCs w:val="0"/>
                <w:color w:val="000000" w:themeColor="text1"/>
                <w:spacing w:val="4"/>
                <w:sz w:val="24"/>
                <w:szCs w:val="24"/>
                <w:highlight w:val="none"/>
                <w14:textFill>
                  <w14:solidFill>
                    <w14:schemeClr w14:val="tx1"/>
                  </w14:solidFill>
                </w14:textFill>
              </w:rPr>
            </w:pPr>
            <w:r>
              <w:rPr>
                <w:rFonts w:hint="default" w:ascii="Times New Roman" w:hAnsi="Times New Roman" w:eastAsia="宋体" w:cs="Times New Roman"/>
                <w:b/>
                <w:bCs w:val="0"/>
                <w:color w:val="000000" w:themeColor="text1"/>
                <w:spacing w:val="4"/>
                <w:sz w:val="24"/>
                <w:szCs w:val="24"/>
                <w:highlight w:val="none"/>
                <w14:textFill>
                  <w14:solidFill>
                    <w14:schemeClr w14:val="tx1"/>
                  </w14:solidFill>
                </w14:textFill>
              </w:rPr>
              <w:t>四、地下水环境保护目标</w:t>
            </w:r>
          </w:p>
          <w:p w14:paraId="27116784">
            <w:pPr>
              <w:keepNext w:val="0"/>
              <w:keepLines w:val="0"/>
              <w:pageBreakBefore w:val="0"/>
              <w:shd w:val="clear"/>
              <w:kinsoku/>
              <w:wordWrap/>
              <w:overflowPunct/>
              <w:topLinePunct w:val="0"/>
              <w:autoSpaceDE/>
              <w:autoSpaceDN/>
              <w:bidi w:val="0"/>
              <w:adjustRightInd w:val="0"/>
              <w:snapToGrid w:val="0"/>
              <w:spacing w:line="360" w:lineRule="auto"/>
              <w:ind w:right="0" w:firstLine="420" w:firstLineChars="20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厂界外</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500</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米范围内无地下水集中式饮用水水源和热水、矿泉水、温泉等特殊地下水资源</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保护目标</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w:t>
            </w:r>
          </w:p>
          <w:p w14:paraId="6B341315">
            <w:pPr>
              <w:pStyle w:val="18"/>
              <w:keepNext w:val="0"/>
              <w:keepLines w:val="0"/>
              <w:pageBreakBefore w:val="0"/>
              <w:numPr>
                <w:ilvl w:val="0"/>
                <w:numId w:val="0"/>
              </w:numPr>
              <w:shd w:val="clear"/>
              <w:kinsoku/>
              <w:wordWrap/>
              <w:overflowPunct/>
              <w:topLinePunct w:val="0"/>
              <w:autoSpaceDE/>
              <w:autoSpaceDN/>
              <w:bidi w:val="0"/>
              <w:snapToGrid w:val="0"/>
              <w:spacing w:before="0" w:after="0" w:line="360" w:lineRule="auto"/>
              <w:ind w:right="0" w:rightChars="0" w:firstLine="430" w:firstLineChars="0"/>
              <w:textAlignment w:val="auto"/>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五、</w:t>
            </w:r>
            <w:r>
              <w:rPr>
                <w:rFonts w:hint="default" w:ascii="Times New Roman" w:hAnsi="Times New Roman" w:eastAsia="宋体" w:cs="Times New Roman"/>
                <w:b/>
                <w:bCs/>
                <w:color w:val="000000" w:themeColor="text1"/>
                <w:spacing w:val="4"/>
                <w:sz w:val="24"/>
                <w:szCs w:val="24"/>
                <w:highlight w:val="none"/>
                <w14:textFill>
                  <w14:solidFill>
                    <w14:schemeClr w14:val="tx1"/>
                  </w14:solidFill>
                </w14:textFill>
              </w:rPr>
              <w:t>生</w:t>
            </w:r>
            <w:r>
              <w:rPr>
                <w:rFonts w:hint="default" w:ascii="Times New Roman" w:hAnsi="Times New Roman" w:eastAsia="宋体" w:cs="Times New Roman"/>
                <w:b/>
                <w:bCs w:val="0"/>
                <w:color w:val="000000" w:themeColor="text1"/>
                <w:spacing w:val="4"/>
                <w:sz w:val="24"/>
                <w:szCs w:val="24"/>
                <w:highlight w:val="none"/>
                <w14:textFill>
                  <w14:solidFill>
                    <w14:schemeClr w14:val="tx1"/>
                  </w14:solidFill>
                </w14:textFill>
              </w:rPr>
              <w:t>态环境保护目标</w:t>
            </w:r>
          </w:p>
          <w:p w14:paraId="1E627706">
            <w:pPr>
              <w:keepNext w:val="0"/>
              <w:keepLines w:val="0"/>
              <w:pageBreakBefore w:val="0"/>
              <w:shd w:val="clear"/>
              <w:kinsoku/>
              <w:wordWrap/>
              <w:overflowPunct/>
              <w:topLinePunct w:val="0"/>
              <w:autoSpaceDE/>
              <w:autoSpaceDN/>
              <w:bidi w:val="0"/>
              <w:adjustRightInd w:val="0"/>
              <w:snapToGrid w:val="0"/>
              <w:spacing w:line="360" w:lineRule="auto"/>
              <w:ind w:right="0" w:firstLine="420" w:firstLineChars="200"/>
              <w:jc w:val="both"/>
              <w:textAlignment w:val="auto"/>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项目用地范围内无生态环境保护目标。</w:t>
            </w:r>
          </w:p>
        </w:tc>
      </w:tr>
      <w:tr w14:paraId="66ED84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1" w:type="dxa"/>
            <w:noWrap w:val="0"/>
            <w:tcMar>
              <w:left w:w="28" w:type="dxa"/>
              <w:right w:w="28" w:type="dxa"/>
            </w:tcMar>
            <w:vAlign w:val="center"/>
          </w:tcPr>
          <w:p w14:paraId="2F131497">
            <w:pPr>
              <w:shd w:val="clear"/>
              <w:adjustRightInd w:val="0"/>
              <w:snapToGrid w:val="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污染物排放控制标准</w:t>
            </w:r>
          </w:p>
        </w:tc>
        <w:tc>
          <w:tcPr>
            <w:tcW w:w="8660" w:type="dxa"/>
            <w:noWrap w:val="0"/>
            <w:vAlign w:val="center"/>
          </w:tcPr>
          <w:p w14:paraId="00E13683">
            <w:pPr>
              <w:pStyle w:val="18"/>
              <w:shd w:val="clear"/>
              <w:spacing w:before="120"/>
              <w:ind w:firstLine="422"/>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一、水污染物排放标准</w:t>
            </w:r>
          </w:p>
          <w:p w14:paraId="771B2E3F">
            <w:pPr>
              <w:pStyle w:val="80"/>
              <w:shd w:val="clea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项目生活污水经三级化粪池预处理后达到广东省地方标准《水污染物排放限值》（DB44/26-2001）第二时段三级标准</w:t>
            </w: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经市政管道排入</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中山市南朗镇水务有限公司</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处理达标后排放</w:t>
            </w: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，对受纳水体</w:t>
            </w:r>
            <w:r>
              <w:rPr>
                <w:rFonts w:hint="default" w:ascii="Times New Roman" w:hAnsi="Times New Roman" w:eastAsia="宋体" w:cs="Times New Roman"/>
                <w:snapToGrid w:val="0"/>
                <w:color w:val="000000" w:themeColor="text1"/>
                <w:sz w:val="21"/>
                <w:szCs w:val="21"/>
                <w:highlight w:val="none"/>
                <w:lang w:val="en-US" w:eastAsia="zh-CN"/>
                <w14:textFill>
                  <w14:solidFill>
                    <w14:schemeClr w14:val="tx1"/>
                  </w14:solidFill>
                </w14:textFill>
              </w:rPr>
              <w:t>涌口门上涌</w:t>
            </w: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产生的影响较小</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14:paraId="522FB89B">
            <w:pPr>
              <w:widowControl/>
              <w:numPr>
                <w:ilvl w:val="0"/>
                <w:numId w:val="0"/>
              </w:numPr>
              <w:shd w:val="clear"/>
              <w:spacing w:line="360" w:lineRule="auto"/>
              <w:ind w:left="0" w:leftChars="0" w:firstLine="0" w:firstLineChars="0"/>
              <w:contextualSpacing/>
              <w:jc w:val="center"/>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表1</w:t>
            </w:r>
            <w:r>
              <w:rPr>
                <w:rFonts w:hint="eastAsia" w:cs="Times New Roman"/>
                <w:b/>
                <w:bCs/>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项目水污染物排放标准</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4"/>
              <w:gridCol w:w="1350"/>
              <w:gridCol w:w="1725"/>
              <w:gridCol w:w="2478"/>
            </w:tblGrid>
            <w:tr w14:paraId="51D8B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233CB8">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废水类型</w:t>
                  </w:r>
                </w:p>
              </w:tc>
              <w:tc>
                <w:tcPr>
                  <w:tcW w:w="135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DE11E5">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污染因子</w:t>
                  </w:r>
                </w:p>
              </w:tc>
              <w:tc>
                <w:tcPr>
                  <w:tcW w:w="17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949F5D1">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排放限值</w:t>
                  </w:r>
                </w:p>
              </w:tc>
              <w:tc>
                <w:tcPr>
                  <w:tcW w:w="247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B16BAB">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排放标准</w:t>
                  </w:r>
                </w:p>
              </w:tc>
            </w:tr>
            <w:tr w14:paraId="5746F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14" w:type="dxa"/>
                  <w:vMerge w:val="restart"/>
                  <w:tcBorders>
                    <w:top w:val="nil"/>
                    <w:left w:val="single" w:color="000000" w:sz="8" w:space="0"/>
                    <w:right w:val="single" w:color="000000" w:sz="8" w:space="0"/>
                  </w:tcBorders>
                  <w:shd w:val="clear" w:color="auto" w:fill="auto"/>
                  <w:vAlign w:val="center"/>
                </w:tcPr>
                <w:p w14:paraId="550A511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生活污水</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0F9D49E">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pH</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3F08818C">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6~9（无量纲）</w:t>
                  </w:r>
                </w:p>
              </w:tc>
              <w:tc>
                <w:tcPr>
                  <w:tcW w:w="2478" w:type="dxa"/>
                  <w:vMerge w:val="restart"/>
                  <w:tcBorders>
                    <w:top w:val="nil"/>
                    <w:left w:val="single" w:color="000000" w:sz="8" w:space="0"/>
                    <w:right w:val="single" w:color="000000" w:sz="8" w:space="0"/>
                  </w:tcBorders>
                  <w:shd w:val="clear" w:color="auto" w:fill="auto"/>
                  <w:vAlign w:val="center"/>
                </w:tcPr>
                <w:p w14:paraId="703DEDE7">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广东省地方标准《水污染物排放限值》（DB44/26-2001）第二时段三级标准</w:t>
                  </w:r>
                </w:p>
              </w:tc>
            </w:tr>
            <w:tr w14:paraId="1E319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114" w:type="dxa"/>
                  <w:vMerge w:val="continue"/>
                  <w:tcBorders>
                    <w:left w:val="single" w:color="000000" w:sz="8" w:space="0"/>
                    <w:right w:val="single" w:color="000000" w:sz="8" w:space="0"/>
                  </w:tcBorders>
                  <w:shd w:val="clear" w:color="auto" w:fill="auto"/>
                  <w:vAlign w:val="center"/>
                </w:tcPr>
                <w:p w14:paraId="56850979">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2301438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COD</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Cr</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54B8BDE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≤500mg/L</w:t>
                  </w:r>
                </w:p>
              </w:tc>
              <w:tc>
                <w:tcPr>
                  <w:tcW w:w="2478" w:type="dxa"/>
                  <w:vMerge w:val="continue"/>
                  <w:tcBorders>
                    <w:left w:val="single" w:color="000000" w:sz="8" w:space="0"/>
                    <w:right w:val="single" w:color="000000" w:sz="8" w:space="0"/>
                  </w:tcBorders>
                  <w:shd w:val="clear" w:color="auto" w:fill="auto"/>
                  <w:vAlign w:val="center"/>
                </w:tcPr>
                <w:p w14:paraId="0BB42012">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32984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114" w:type="dxa"/>
                  <w:vMerge w:val="continue"/>
                  <w:tcBorders>
                    <w:left w:val="single" w:color="000000" w:sz="8" w:space="0"/>
                    <w:right w:val="single" w:color="000000" w:sz="8" w:space="0"/>
                  </w:tcBorders>
                  <w:shd w:val="clear" w:color="auto" w:fill="auto"/>
                  <w:vAlign w:val="center"/>
                </w:tcPr>
                <w:p w14:paraId="56E9CE00">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5883312">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BOD</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5</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5F939A4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≤300mg/L</w:t>
                  </w:r>
                </w:p>
              </w:tc>
              <w:tc>
                <w:tcPr>
                  <w:tcW w:w="2478" w:type="dxa"/>
                  <w:vMerge w:val="continue"/>
                  <w:tcBorders>
                    <w:left w:val="single" w:color="000000" w:sz="8" w:space="0"/>
                    <w:right w:val="single" w:color="000000" w:sz="8" w:space="0"/>
                  </w:tcBorders>
                  <w:shd w:val="clear" w:color="auto" w:fill="auto"/>
                  <w:vAlign w:val="center"/>
                </w:tcPr>
                <w:p w14:paraId="4887BE8B">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3E8C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14" w:type="dxa"/>
                  <w:vMerge w:val="continue"/>
                  <w:tcBorders>
                    <w:left w:val="single" w:color="000000" w:sz="8" w:space="0"/>
                    <w:right w:val="single" w:color="000000" w:sz="8" w:space="0"/>
                  </w:tcBorders>
                  <w:shd w:val="clear" w:color="auto" w:fill="auto"/>
                  <w:vAlign w:val="center"/>
                </w:tcPr>
                <w:p w14:paraId="59574E9D">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350" w:type="dxa"/>
                  <w:tcBorders>
                    <w:top w:val="nil"/>
                    <w:left w:val="single" w:color="000000" w:sz="8" w:space="0"/>
                    <w:bottom w:val="single" w:color="auto" w:sz="4" w:space="0"/>
                    <w:right w:val="single" w:color="000000" w:sz="8" w:space="0"/>
                  </w:tcBorders>
                  <w:shd w:val="clear" w:color="auto" w:fill="auto"/>
                  <w:vAlign w:val="center"/>
                </w:tcPr>
                <w:p w14:paraId="488FCE6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SS</w:t>
                  </w:r>
                </w:p>
              </w:tc>
              <w:tc>
                <w:tcPr>
                  <w:tcW w:w="1725" w:type="dxa"/>
                  <w:tcBorders>
                    <w:top w:val="nil"/>
                    <w:left w:val="single" w:color="000000" w:sz="8" w:space="0"/>
                    <w:bottom w:val="single" w:color="auto" w:sz="4" w:space="0"/>
                    <w:right w:val="single" w:color="000000" w:sz="8" w:space="0"/>
                  </w:tcBorders>
                  <w:shd w:val="clear" w:color="auto" w:fill="auto"/>
                  <w:vAlign w:val="center"/>
                </w:tcPr>
                <w:p w14:paraId="4705DEC4">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≤400mg/L</w:t>
                  </w:r>
                </w:p>
              </w:tc>
              <w:tc>
                <w:tcPr>
                  <w:tcW w:w="2478" w:type="dxa"/>
                  <w:vMerge w:val="continue"/>
                  <w:tcBorders>
                    <w:left w:val="single" w:color="000000" w:sz="8" w:space="0"/>
                    <w:right w:val="single" w:color="000000" w:sz="8" w:space="0"/>
                  </w:tcBorders>
                  <w:shd w:val="clear" w:color="auto" w:fill="auto"/>
                  <w:vAlign w:val="center"/>
                </w:tcPr>
                <w:p w14:paraId="771FFDE2">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51B57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1114" w:type="dxa"/>
                  <w:vMerge w:val="continue"/>
                  <w:tcBorders>
                    <w:left w:val="single" w:color="000000" w:sz="8" w:space="0"/>
                    <w:right w:val="single" w:color="auto" w:sz="4" w:space="0"/>
                  </w:tcBorders>
                  <w:shd w:val="clear" w:color="auto" w:fill="auto"/>
                  <w:vAlign w:val="center"/>
                </w:tcPr>
                <w:p w14:paraId="33188A17">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350" w:type="dxa"/>
                  <w:tcBorders>
                    <w:top w:val="single" w:color="auto" w:sz="4" w:space="0"/>
                    <w:left w:val="single" w:color="auto" w:sz="4" w:space="0"/>
                    <w:bottom w:val="single" w:color="auto" w:sz="4" w:space="0"/>
                    <w:right w:val="single" w:color="000000" w:sz="8" w:space="0"/>
                  </w:tcBorders>
                  <w:shd w:val="clear" w:color="auto" w:fill="auto"/>
                  <w:vAlign w:val="center"/>
                </w:tcPr>
                <w:p w14:paraId="696E90A4">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NH</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w:t>
                  </w:r>
                </w:p>
              </w:tc>
              <w:tc>
                <w:tcPr>
                  <w:tcW w:w="1725" w:type="dxa"/>
                  <w:tcBorders>
                    <w:top w:val="single" w:color="auto" w:sz="4" w:space="0"/>
                    <w:left w:val="single" w:color="000000" w:sz="8" w:space="0"/>
                    <w:bottom w:val="single" w:color="auto" w:sz="4" w:space="0"/>
                    <w:right w:val="single" w:color="auto" w:sz="4" w:space="0"/>
                  </w:tcBorders>
                  <w:shd w:val="clear" w:color="auto" w:fill="auto"/>
                  <w:vAlign w:val="center"/>
                </w:tcPr>
                <w:p w14:paraId="1EF9992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478" w:type="dxa"/>
                  <w:vMerge w:val="continue"/>
                  <w:tcBorders>
                    <w:left w:val="single" w:color="000000" w:sz="8" w:space="0"/>
                    <w:right w:val="single" w:color="000000" w:sz="8" w:space="0"/>
                  </w:tcBorders>
                  <w:shd w:val="clear" w:color="auto" w:fill="auto"/>
                  <w:vAlign w:val="center"/>
                </w:tcPr>
                <w:p w14:paraId="6F287CB0">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7F7FA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1114" w:type="dxa"/>
                  <w:vMerge w:val="continue"/>
                  <w:tcBorders>
                    <w:left w:val="single" w:color="000000" w:sz="8" w:space="0"/>
                    <w:bottom w:val="single" w:color="000000" w:sz="8" w:space="0"/>
                    <w:right w:val="single" w:color="000000" w:sz="8" w:space="0"/>
                  </w:tcBorders>
                  <w:shd w:val="clear" w:color="auto" w:fill="auto"/>
                  <w:vAlign w:val="center"/>
                </w:tcPr>
                <w:p w14:paraId="67A6E017">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350" w:type="dxa"/>
                  <w:tcBorders>
                    <w:top w:val="single" w:color="auto" w:sz="4" w:space="0"/>
                    <w:left w:val="single" w:color="000000" w:sz="8" w:space="0"/>
                    <w:bottom w:val="single" w:color="000000" w:sz="8" w:space="0"/>
                    <w:right w:val="single" w:color="000000" w:sz="8" w:space="0"/>
                  </w:tcBorders>
                  <w:shd w:val="clear" w:color="auto" w:fill="auto"/>
                  <w:vAlign w:val="center"/>
                </w:tcPr>
                <w:p w14:paraId="693DDDB7">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TP</w:t>
                  </w:r>
                </w:p>
              </w:tc>
              <w:tc>
                <w:tcPr>
                  <w:tcW w:w="1725" w:type="dxa"/>
                  <w:tcBorders>
                    <w:top w:val="single" w:color="auto" w:sz="4" w:space="0"/>
                    <w:left w:val="single" w:color="000000" w:sz="8" w:space="0"/>
                    <w:bottom w:val="single" w:color="000000" w:sz="8" w:space="0"/>
                    <w:right w:val="single" w:color="000000" w:sz="8" w:space="0"/>
                  </w:tcBorders>
                  <w:shd w:val="clear" w:color="auto" w:fill="auto"/>
                  <w:vAlign w:val="center"/>
                </w:tcPr>
                <w:p w14:paraId="2B1CD2CE">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478" w:type="dxa"/>
                  <w:vMerge w:val="continue"/>
                  <w:tcBorders>
                    <w:left w:val="single" w:color="000000" w:sz="8" w:space="0"/>
                    <w:bottom w:val="single" w:color="000000" w:sz="8" w:space="0"/>
                    <w:right w:val="single" w:color="000000" w:sz="8" w:space="0"/>
                  </w:tcBorders>
                  <w:shd w:val="clear" w:color="auto" w:fill="auto"/>
                  <w:vAlign w:val="center"/>
                </w:tcPr>
                <w:p w14:paraId="5F420047">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bl>
          <w:p w14:paraId="4A1FE3AE">
            <w:pPr>
              <w:shd w:val="clear"/>
              <w:adjustRightInd w:val="0"/>
              <w:snapToGrid w:val="0"/>
              <w:ind w:firstLine="482" w:firstLineChars="200"/>
              <w:jc w:val="left"/>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二、大气污染物排放标准</w:t>
            </w:r>
          </w:p>
          <w:p w14:paraId="7F22C363">
            <w:pPr>
              <w:pStyle w:val="48"/>
              <w:shd w:val="clear"/>
              <w:spacing w:line="360" w:lineRule="auto"/>
              <w:jc w:val="cente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表1</w:t>
            </w:r>
            <w:r>
              <w:rPr>
                <w:rFonts w:hint="eastAsia" w:ascii="Times New Roman" w:cs="Times New Roman"/>
                <w:b/>
                <w:bCs/>
                <w:color w:val="000000" w:themeColor="text1"/>
                <w:kern w:val="0"/>
                <w:sz w:val="24"/>
                <w:szCs w:val="24"/>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项目大气污染物排放标准</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2"/>
              <w:gridCol w:w="800"/>
              <w:gridCol w:w="990"/>
              <w:gridCol w:w="866"/>
              <w:gridCol w:w="1854"/>
              <w:gridCol w:w="2673"/>
            </w:tblGrid>
            <w:tr w14:paraId="0484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82" w:type="dxa"/>
                  <w:tcBorders>
                    <w:top w:val="single" w:color="000000" w:sz="8" w:space="0"/>
                    <w:left w:val="single" w:color="000000" w:sz="8" w:space="0"/>
                    <w:bottom w:val="nil"/>
                    <w:right w:val="single" w:color="000000" w:sz="8" w:space="0"/>
                  </w:tcBorders>
                  <w:noWrap w:val="0"/>
                  <w:vAlign w:val="center"/>
                </w:tcPr>
                <w:p w14:paraId="57F72F00">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废气种类</w:t>
                  </w:r>
                </w:p>
              </w:tc>
              <w:tc>
                <w:tcPr>
                  <w:tcW w:w="800" w:type="dxa"/>
                  <w:tcBorders>
                    <w:top w:val="single" w:color="000000" w:sz="8" w:space="0"/>
                    <w:left w:val="single" w:color="000000" w:sz="8" w:space="0"/>
                    <w:bottom w:val="single" w:color="000000" w:sz="8" w:space="0"/>
                    <w:right w:val="single" w:color="000000" w:sz="8" w:space="0"/>
                  </w:tcBorders>
                  <w:noWrap w:val="0"/>
                  <w:vAlign w:val="center"/>
                </w:tcPr>
                <w:p w14:paraId="66974169">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排气筒编号</w:t>
                  </w:r>
                </w:p>
              </w:tc>
              <w:tc>
                <w:tcPr>
                  <w:tcW w:w="990" w:type="dxa"/>
                  <w:tcBorders>
                    <w:top w:val="single" w:color="000000" w:sz="8" w:space="0"/>
                    <w:left w:val="single" w:color="000000" w:sz="8" w:space="0"/>
                    <w:bottom w:val="single" w:color="000000" w:sz="8" w:space="0"/>
                    <w:right w:val="single" w:color="000000" w:sz="8" w:space="0"/>
                  </w:tcBorders>
                  <w:noWrap w:val="0"/>
                  <w:vAlign w:val="center"/>
                </w:tcPr>
                <w:p w14:paraId="0A70E009">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污染物</w:t>
                  </w:r>
                </w:p>
              </w:tc>
              <w:tc>
                <w:tcPr>
                  <w:tcW w:w="866" w:type="dxa"/>
                  <w:tcBorders>
                    <w:top w:val="single" w:color="000000" w:sz="8" w:space="0"/>
                    <w:left w:val="single" w:color="000000" w:sz="8" w:space="0"/>
                    <w:bottom w:val="single" w:color="auto" w:sz="4" w:space="0"/>
                    <w:right w:val="single" w:color="000000" w:sz="8" w:space="0"/>
                  </w:tcBorders>
                  <w:noWrap w:val="0"/>
                  <w:vAlign w:val="center"/>
                </w:tcPr>
                <w:p w14:paraId="4EF09D3A">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排气筒高度</w:t>
                  </w:r>
                  <w:r>
                    <w:rPr>
                      <w:rStyle w:val="92"/>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m</w:t>
                  </w:r>
                </w:p>
              </w:tc>
              <w:tc>
                <w:tcPr>
                  <w:tcW w:w="1854" w:type="dxa"/>
                  <w:tcBorders>
                    <w:top w:val="single" w:color="000000" w:sz="8" w:space="0"/>
                    <w:left w:val="single" w:color="000000" w:sz="8" w:space="0"/>
                    <w:bottom w:val="single" w:color="auto" w:sz="4" w:space="0"/>
                    <w:right w:val="single" w:color="000000" w:sz="8" w:space="0"/>
                  </w:tcBorders>
                  <w:noWrap w:val="0"/>
                  <w:vAlign w:val="center"/>
                </w:tcPr>
                <w:p w14:paraId="7E464945">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最高允许排放浓度</w:t>
                  </w: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p>
              </w:tc>
              <w:tc>
                <w:tcPr>
                  <w:tcW w:w="2673" w:type="dxa"/>
                  <w:tcBorders>
                    <w:top w:val="single" w:color="000000" w:sz="8" w:space="0"/>
                    <w:left w:val="single" w:color="000000" w:sz="8" w:space="0"/>
                    <w:bottom w:val="single" w:color="auto" w:sz="4" w:space="0"/>
                    <w:right w:val="single" w:color="000000" w:sz="8" w:space="0"/>
                  </w:tcBorders>
                  <w:noWrap w:val="0"/>
                  <w:vAlign w:val="center"/>
                </w:tcPr>
                <w:p w14:paraId="1A0DAAD8">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标准来源</w:t>
                  </w:r>
                </w:p>
              </w:tc>
            </w:tr>
            <w:tr w14:paraId="5DA69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vMerge w:val="restart"/>
                  <w:tcBorders>
                    <w:top w:val="single" w:color="000000" w:sz="8" w:space="0"/>
                    <w:left w:val="single" w:color="000000" w:sz="8" w:space="0"/>
                    <w:bottom w:val="single" w:color="000000" w:sz="4" w:space="0"/>
                    <w:right w:val="single" w:color="000000" w:sz="8" w:space="0"/>
                  </w:tcBorders>
                  <w:noWrap w:val="0"/>
                  <w:vAlign w:val="center"/>
                </w:tcPr>
                <w:p w14:paraId="149D78F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熔融、压铸、脱模、液化石油气燃烧</w:t>
                  </w: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废气</w:t>
                  </w:r>
                </w:p>
              </w:tc>
              <w:tc>
                <w:tcPr>
                  <w:tcW w:w="800" w:type="dxa"/>
                  <w:vMerge w:val="restart"/>
                  <w:tcBorders>
                    <w:top w:val="nil"/>
                    <w:left w:val="nil"/>
                    <w:bottom w:val="single" w:color="000000" w:sz="8" w:space="0"/>
                    <w:right w:val="single" w:color="000000" w:sz="8" w:space="0"/>
                  </w:tcBorders>
                  <w:noWrap w:val="0"/>
                  <w:vAlign w:val="center"/>
                </w:tcPr>
                <w:p w14:paraId="5C2D11DF">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G1</w:t>
                  </w:r>
                </w:p>
              </w:tc>
              <w:tc>
                <w:tcPr>
                  <w:tcW w:w="990" w:type="dxa"/>
                  <w:tcBorders>
                    <w:top w:val="nil"/>
                    <w:left w:val="single" w:color="000000" w:sz="8" w:space="0"/>
                    <w:bottom w:val="single" w:color="000000" w:sz="8" w:space="0"/>
                    <w:right w:val="single" w:color="auto" w:sz="4" w:space="0"/>
                  </w:tcBorders>
                  <w:noWrap w:val="0"/>
                  <w:vAlign w:val="center"/>
                </w:tcPr>
                <w:p w14:paraId="6C973C0A">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866" w:type="dxa"/>
                  <w:vMerge w:val="restart"/>
                  <w:tcBorders>
                    <w:top w:val="single" w:color="auto" w:sz="4" w:space="0"/>
                    <w:left w:val="single" w:color="auto" w:sz="4" w:space="0"/>
                    <w:bottom w:val="single" w:color="auto" w:sz="4" w:space="0"/>
                    <w:right w:val="single" w:color="auto" w:sz="4" w:space="0"/>
                  </w:tcBorders>
                  <w:noWrap w:val="0"/>
                  <w:vAlign w:val="center"/>
                </w:tcPr>
                <w:p w14:paraId="7C2C19C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15</w:t>
                  </w:r>
                </w:p>
              </w:tc>
              <w:tc>
                <w:tcPr>
                  <w:tcW w:w="1854" w:type="dxa"/>
                  <w:tcBorders>
                    <w:top w:val="single" w:color="auto" w:sz="4" w:space="0"/>
                    <w:left w:val="single" w:color="auto" w:sz="4" w:space="0"/>
                    <w:bottom w:val="single" w:color="auto" w:sz="4" w:space="0"/>
                    <w:right w:val="single" w:color="auto" w:sz="4" w:space="0"/>
                  </w:tcBorders>
                  <w:noWrap w:val="0"/>
                  <w:vAlign w:val="center"/>
                </w:tcPr>
                <w:p w14:paraId="5FBEFCE4">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80</w:t>
                  </w:r>
                </w:p>
              </w:tc>
              <w:tc>
                <w:tcPr>
                  <w:tcW w:w="2673" w:type="dxa"/>
                  <w:vMerge w:val="restart"/>
                  <w:tcBorders>
                    <w:top w:val="single" w:color="auto" w:sz="4" w:space="0"/>
                    <w:left w:val="single" w:color="auto" w:sz="4" w:space="0"/>
                    <w:right w:val="single" w:color="auto" w:sz="4" w:space="0"/>
                  </w:tcBorders>
                  <w:noWrap w:val="0"/>
                  <w:vAlign w:val="center"/>
                </w:tcPr>
                <w:p w14:paraId="6A02259A">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olor w:val="000000" w:themeColor="text1"/>
                      <w:spacing w:val="0"/>
                      <w:sz w:val="21"/>
                      <w:szCs w:val="21"/>
                      <w:highlight w:val="none"/>
                      <w14:textFill>
                        <w14:solidFill>
                          <w14:schemeClr w14:val="tx1"/>
                        </w14:solidFill>
                      </w14:textFill>
                    </w:rPr>
                    <w:t>广东</w:t>
                  </w:r>
                  <w:r>
                    <w:rPr>
                      <w:rFonts w:hint="eastAsia"/>
                      <w:color w:val="000000" w:themeColor="text1"/>
                      <w:spacing w:val="0"/>
                      <w:sz w:val="21"/>
                      <w:szCs w:val="21"/>
                      <w:highlight w:val="none"/>
                      <w:lang w:val="en-US" w:eastAsia="zh-CN"/>
                      <w14:textFill>
                        <w14:solidFill>
                          <w14:schemeClr w14:val="tx1"/>
                        </w14:solidFill>
                      </w14:textFill>
                    </w:rPr>
                    <w:t>省</w:t>
                  </w:r>
                  <w:r>
                    <w:rPr>
                      <w:rFonts w:hint="eastAsia" w:ascii="Times New Roman" w:hAnsi="Times New Roman" w:eastAsia="宋体"/>
                      <w:color w:val="000000" w:themeColor="text1"/>
                      <w:spacing w:val="0"/>
                      <w:sz w:val="21"/>
                      <w:szCs w:val="21"/>
                      <w:highlight w:val="none"/>
                      <w14:textFill>
                        <w14:solidFill>
                          <w14:schemeClr w14:val="tx1"/>
                        </w14:solidFill>
                      </w14:textFill>
                    </w:rPr>
                    <w:t>地方标准《固定污染源挥发性有机物综合排放标准》</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r>
                    <w:rPr>
                      <w:rFonts w:hint="eastAsia" w:ascii="Times New Roman" w:hAnsi="Times New Roman" w:eastAsia="宋体"/>
                      <w:color w:val="000000" w:themeColor="text1"/>
                      <w:spacing w:val="0"/>
                      <w:sz w:val="21"/>
                      <w:szCs w:val="21"/>
                      <w:highlight w:val="none"/>
                      <w14:textFill>
                        <w14:solidFill>
                          <w14:schemeClr w14:val="tx1"/>
                        </w14:solidFill>
                      </w14:textFill>
                    </w:rPr>
                    <w:t>DB44/2367-2022</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r>
                    <w:rPr>
                      <w:rFonts w:hint="eastAsia" w:ascii="Times New Roman" w:hAnsi="Times New Roman" w:eastAsia="宋体"/>
                      <w:color w:val="000000" w:themeColor="text1"/>
                      <w:spacing w:val="0"/>
                      <w:sz w:val="21"/>
                      <w:szCs w:val="21"/>
                      <w:highlight w:val="none"/>
                      <w14:textFill>
                        <w14:solidFill>
                          <w14:schemeClr w14:val="tx1"/>
                        </w14:solidFill>
                      </w14:textFill>
                    </w:rPr>
                    <w:t>表1挥发性有机物排放限值</w:t>
                  </w:r>
                </w:p>
              </w:tc>
            </w:tr>
            <w:tr w14:paraId="17148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82" w:type="dxa"/>
                  <w:vMerge w:val="continue"/>
                  <w:tcBorders>
                    <w:left w:val="single" w:color="000000" w:sz="8" w:space="0"/>
                    <w:right w:val="single" w:color="000000" w:sz="8" w:space="0"/>
                  </w:tcBorders>
                  <w:noWrap w:val="0"/>
                  <w:vAlign w:val="center"/>
                </w:tcPr>
                <w:p w14:paraId="77E5338C">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800" w:type="dxa"/>
                  <w:vMerge w:val="continue"/>
                  <w:tcBorders>
                    <w:left w:val="nil"/>
                    <w:right w:val="single" w:color="000000" w:sz="8" w:space="0"/>
                  </w:tcBorders>
                  <w:noWrap w:val="0"/>
                  <w:vAlign w:val="center"/>
                </w:tcPr>
                <w:p w14:paraId="3BCF3187">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990" w:type="dxa"/>
                  <w:tcBorders>
                    <w:top w:val="nil"/>
                    <w:left w:val="single" w:color="000000" w:sz="8" w:space="0"/>
                    <w:bottom w:val="single" w:color="000000" w:sz="8" w:space="0"/>
                    <w:right w:val="single" w:color="auto" w:sz="4" w:space="0"/>
                  </w:tcBorders>
                  <w:noWrap w:val="0"/>
                  <w:vAlign w:val="center"/>
                </w:tcPr>
                <w:p w14:paraId="392C2BC8">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TVOC</w:t>
                  </w:r>
                </w:p>
              </w:tc>
              <w:tc>
                <w:tcPr>
                  <w:tcW w:w="866" w:type="dxa"/>
                  <w:vMerge w:val="continue"/>
                  <w:tcBorders>
                    <w:left w:val="single" w:color="auto" w:sz="4" w:space="0"/>
                    <w:right w:val="single" w:color="auto" w:sz="4" w:space="0"/>
                  </w:tcBorders>
                  <w:noWrap w:val="0"/>
                  <w:vAlign w:val="center"/>
                </w:tcPr>
                <w:p w14:paraId="44F94A9F">
                  <w:pPr>
                    <w:keepNext w:val="0"/>
                    <w:keepLines w:val="0"/>
                    <w:widowControl/>
                    <w:suppressLineNumbers w:val="0"/>
                    <w:shd w:val="clear"/>
                    <w:spacing w:line="240" w:lineRule="auto"/>
                    <w:jc w:val="center"/>
                    <w:textAlignment w:val="center"/>
                    <w:rPr>
                      <w:rFonts w:hint="eastAsia" w:cs="Times New Roman"/>
                      <w:i w:val="0"/>
                      <w:iCs w:val="0"/>
                      <w:color w:val="000000" w:themeColor="text1"/>
                      <w:sz w:val="21"/>
                      <w:szCs w:val="21"/>
                      <w:highlight w:val="none"/>
                      <w:u w:val="none"/>
                      <w:lang w:val="en-US" w:eastAsia="zh-CN"/>
                      <w14:textFill>
                        <w14:solidFill>
                          <w14:schemeClr w14:val="tx1"/>
                        </w14:solidFill>
                      </w14:textFill>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7DF99025">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100</w:t>
                  </w:r>
                </w:p>
              </w:tc>
              <w:tc>
                <w:tcPr>
                  <w:tcW w:w="2673" w:type="dxa"/>
                  <w:vMerge w:val="continue"/>
                  <w:tcBorders>
                    <w:left w:val="single" w:color="auto" w:sz="4" w:space="0"/>
                    <w:bottom w:val="single" w:color="auto" w:sz="4" w:space="0"/>
                    <w:right w:val="single" w:color="auto" w:sz="4" w:space="0"/>
                  </w:tcBorders>
                  <w:noWrap w:val="0"/>
                  <w:vAlign w:val="center"/>
                </w:tcPr>
                <w:p w14:paraId="356DDF5A">
                  <w:pPr>
                    <w:keepNext w:val="0"/>
                    <w:keepLines w:val="0"/>
                    <w:widowControl/>
                    <w:suppressLineNumbers w:val="0"/>
                    <w:shd w:val="clear"/>
                    <w:spacing w:line="240" w:lineRule="auto"/>
                    <w:jc w:val="center"/>
                    <w:textAlignment w:val="center"/>
                    <w:rPr>
                      <w:rFonts w:hint="eastAsia" w:ascii="Times New Roman" w:hAnsi="Times New Roman" w:eastAsia="宋体"/>
                      <w:color w:val="000000" w:themeColor="text1"/>
                      <w:spacing w:val="0"/>
                      <w:sz w:val="21"/>
                      <w:szCs w:val="21"/>
                      <w:highlight w:val="none"/>
                      <w14:textFill>
                        <w14:solidFill>
                          <w14:schemeClr w14:val="tx1"/>
                        </w14:solidFill>
                      </w14:textFill>
                    </w:rPr>
                  </w:pPr>
                </w:p>
              </w:tc>
            </w:tr>
            <w:tr w14:paraId="14774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jc w:val="center"/>
              </w:trPr>
              <w:tc>
                <w:tcPr>
                  <w:tcW w:w="782" w:type="dxa"/>
                  <w:vMerge w:val="continue"/>
                  <w:tcBorders>
                    <w:left w:val="single" w:color="000000" w:sz="8" w:space="0"/>
                    <w:right w:val="single" w:color="000000" w:sz="8" w:space="0"/>
                  </w:tcBorders>
                  <w:noWrap w:val="0"/>
                  <w:vAlign w:val="center"/>
                </w:tcPr>
                <w:p w14:paraId="650220DA">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800" w:type="dxa"/>
                  <w:vMerge w:val="continue"/>
                  <w:tcBorders>
                    <w:left w:val="nil"/>
                    <w:right w:val="single" w:color="000000" w:sz="8" w:space="0"/>
                  </w:tcBorders>
                  <w:noWrap w:val="0"/>
                  <w:vAlign w:val="center"/>
                </w:tcPr>
                <w:p w14:paraId="65423BD9">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990" w:type="dxa"/>
                  <w:tcBorders>
                    <w:top w:val="nil"/>
                    <w:left w:val="single" w:color="000000" w:sz="8" w:space="0"/>
                    <w:bottom w:val="single" w:color="000000" w:sz="8" w:space="0"/>
                    <w:right w:val="single" w:color="auto" w:sz="4" w:space="0"/>
                  </w:tcBorders>
                  <w:noWrap w:val="0"/>
                  <w:vAlign w:val="center"/>
                </w:tcPr>
                <w:p w14:paraId="18CA5653">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SO₂</w:t>
                  </w:r>
                </w:p>
              </w:tc>
              <w:tc>
                <w:tcPr>
                  <w:tcW w:w="866" w:type="dxa"/>
                  <w:vMerge w:val="continue"/>
                  <w:tcBorders>
                    <w:left w:val="single" w:color="auto" w:sz="4" w:space="0"/>
                    <w:right w:val="single" w:color="auto" w:sz="4" w:space="0"/>
                  </w:tcBorders>
                  <w:noWrap w:val="0"/>
                  <w:vAlign w:val="center"/>
                </w:tcPr>
                <w:p w14:paraId="0F73AC5A">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14535B58">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olor w:val="000000" w:themeColor="text1"/>
                      <w:spacing w:val="0"/>
                      <w:sz w:val="21"/>
                      <w:szCs w:val="21"/>
                      <w:highlight w:val="none"/>
                      <w:lang w:val="en-US" w:eastAsia="zh-CN"/>
                      <w14:textFill>
                        <w14:solidFill>
                          <w14:schemeClr w14:val="tx1"/>
                        </w14:solidFill>
                      </w14:textFill>
                    </w:rPr>
                    <w:t>100</w:t>
                  </w:r>
                </w:p>
              </w:tc>
              <w:tc>
                <w:tcPr>
                  <w:tcW w:w="2673" w:type="dxa"/>
                  <w:vMerge w:val="restart"/>
                  <w:tcBorders>
                    <w:top w:val="single" w:color="auto" w:sz="4" w:space="0"/>
                    <w:left w:val="single" w:color="auto" w:sz="4" w:space="0"/>
                    <w:right w:val="single" w:color="auto" w:sz="4" w:space="0"/>
                  </w:tcBorders>
                  <w:noWrap w:val="0"/>
                  <w:vAlign w:val="center"/>
                </w:tcPr>
                <w:p w14:paraId="5EAE52A6">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ascii="Times New Roman" w:hAnsi="Times New Roman" w:eastAsia="宋体"/>
                      <w:color w:val="000000" w:themeColor="text1"/>
                      <w:spacing w:val="0"/>
                      <w:sz w:val="21"/>
                      <w:szCs w:val="21"/>
                      <w:highlight w:val="none"/>
                      <w14:textFill>
                        <w14:solidFill>
                          <w14:schemeClr w14:val="tx1"/>
                        </w14:solidFill>
                      </w14:textFill>
                    </w:rPr>
                    <w:t>《铸造工业大气污染物排放标准》</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GB39726-2020</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表1大气污染物排放限值</w:t>
                  </w:r>
                </w:p>
              </w:tc>
            </w:tr>
            <w:tr w14:paraId="04E63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782" w:type="dxa"/>
                  <w:vMerge w:val="continue"/>
                  <w:tcBorders>
                    <w:left w:val="single" w:color="000000" w:sz="8" w:space="0"/>
                    <w:right w:val="single" w:color="000000" w:sz="8" w:space="0"/>
                  </w:tcBorders>
                  <w:noWrap w:val="0"/>
                  <w:vAlign w:val="center"/>
                </w:tcPr>
                <w:p w14:paraId="1A3A1B49">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800" w:type="dxa"/>
                  <w:vMerge w:val="continue"/>
                  <w:tcBorders>
                    <w:left w:val="nil"/>
                    <w:right w:val="single" w:color="000000" w:sz="8" w:space="0"/>
                  </w:tcBorders>
                  <w:noWrap w:val="0"/>
                  <w:vAlign w:val="center"/>
                </w:tcPr>
                <w:p w14:paraId="229135EE">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990" w:type="dxa"/>
                  <w:tcBorders>
                    <w:top w:val="nil"/>
                    <w:left w:val="single" w:color="000000" w:sz="8" w:space="0"/>
                    <w:bottom w:val="single" w:color="000000" w:sz="8" w:space="0"/>
                    <w:right w:val="single" w:color="auto" w:sz="4" w:space="0"/>
                  </w:tcBorders>
                  <w:noWrap w:val="0"/>
                  <w:vAlign w:val="center"/>
                </w:tcPr>
                <w:p w14:paraId="0223CB40">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NOx</w:t>
                  </w:r>
                </w:p>
              </w:tc>
              <w:tc>
                <w:tcPr>
                  <w:tcW w:w="866" w:type="dxa"/>
                  <w:vMerge w:val="continue"/>
                  <w:tcBorders>
                    <w:left w:val="single" w:color="auto" w:sz="4" w:space="0"/>
                    <w:right w:val="single" w:color="auto" w:sz="4" w:space="0"/>
                  </w:tcBorders>
                  <w:noWrap w:val="0"/>
                  <w:vAlign w:val="center"/>
                </w:tcPr>
                <w:p w14:paraId="2517B00F">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404EED22">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ascii="Times New Roman" w:hAnsi="Times New Roman" w:eastAsia="宋体"/>
                      <w:color w:val="000000" w:themeColor="text1"/>
                      <w:spacing w:val="0"/>
                      <w:sz w:val="21"/>
                      <w:szCs w:val="21"/>
                      <w:highlight w:val="none"/>
                      <w14:textFill>
                        <w14:solidFill>
                          <w14:schemeClr w14:val="tx1"/>
                        </w14:solidFill>
                      </w14:textFill>
                    </w:rPr>
                    <w:t>400</w:t>
                  </w:r>
                </w:p>
              </w:tc>
              <w:tc>
                <w:tcPr>
                  <w:tcW w:w="2673" w:type="dxa"/>
                  <w:vMerge w:val="continue"/>
                  <w:tcBorders>
                    <w:left w:val="single" w:color="auto" w:sz="4" w:space="0"/>
                    <w:right w:val="single" w:color="auto" w:sz="4" w:space="0"/>
                  </w:tcBorders>
                  <w:noWrap w:val="0"/>
                  <w:vAlign w:val="center"/>
                </w:tcPr>
                <w:p w14:paraId="79D699BC">
                  <w:pPr>
                    <w:keepNext w:val="0"/>
                    <w:keepLines w:val="0"/>
                    <w:widowControl/>
                    <w:suppressLineNumbers w:val="0"/>
                    <w:shd w:val="clear"/>
                    <w:spacing w:line="240" w:lineRule="auto"/>
                    <w:jc w:val="center"/>
                    <w:textAlignment w:val="center"/>
                    <w:rPr>
                      <w:rFonts w:ascii="Times New Roman" w:hAnsi="Times New Roman" w:eastAsia="宋体"/>
                      <w:color w:val="000000" w:themeColor="text1"/>
                      <w:spacing w:val="0"/>
                      <w:sz w:val="21"/>
                      <w:szCs w:val="21"/>
                      <w:highlight w:val="none"/>
                      <w14:textFill>
                        <w14:solidFill>
                          <w14:schemeClr w14:val="tx1"/>
                        </w14:solidFill>
                      </w14:textFill>
                    </w:rPr>
                  </w:pPr>
                </w:p>
              </w:tc>
            </w:tr>
            <w:tr w14:paraId="05A8A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782" w:type="dxa"/>
                  <w:vMerge w:val="continue"/>
                  <w:tcBorders>
                    <w:left w:val="single" w:color="000000" w:sz="8" w:space="0"/>
                    <w:right w:val="single" w:color="000000" w:sz="8" w:space="0"/>
                  </w:tcBorders>
                  <w:noWrap w:val="0"/>
                  <w:vAlign w:val="center"/>
                </w:tcPr>
                <w:p w14:paraId="33885624">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800" w:type="dxa"/>
                  <w:vMerge w:val="continue"/>
                  <w:tcBorders>
                    <w:left w:val="nil"/>
                    <w:right w:val="single" w:color="000000" w:sz="8" w:space="0"/>
                  </w:tcBorders>
                  <w:noWrap w:val="0"/>
                  <w:vAlign w:val="center"/>
                </w:tcPr>
                <w:p w14:paraId="3C9C6B46">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990" w:type="dxa"/>
                  <w:tcBorders>
                    <w:top w:val="nil"/>
                    <w:left w:val="single" w:color="000000" w:sz="8" w:space="0"/>
                    <w:bottom w:val="single" w:color="000000" w:sz="8" w:space="0"/>
                    <w:right w:val="single" w:color="auto" w:sz="4" w:space="0"/>
                  </w:tcBorders>
                  <w:noWrap w:val="0"/>
                  <w:vAlign w:val="center"/>
                </w:tcPr>
                <w:p w14:paraId="11B0830E">
                  <w:pPr>
                    <w:shd w:val="clear"/>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颗粒物</w:t>
                  </w:r>
                </w:p>
              </w:tc>
              <w:tc>
                <w:tcPr>
                  <w:tcW w:w="866" w:type="dxa"/>
                  <w:vMerge w:val="continue"/>
                  <w:tcBorders>
                    <w:left w:val="single" w:color="auto" w:sz="4" w:space="0"/>
                    <w:right w:val="single" w:color="auto" w:sz="4" w:space="0"/>
                  </w:tcBorders>
                  <w:noWrap w:val="0"/>
                  <w:vAlign w:val="center"/>
                </w:tcPr>
                <w:p w14:paraId="70E05D5E">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0800AD26">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30</w:t>
                  </w:r>
                </w:p>
              </w:tc>
              <w:tc>
                <w:tcPr>
                  <w:tcW w:w="2673" w:type="dxa"/>
                  <w:vMerge w:val="continue"/>
                  <w:tcBorders>
                    <w:left w:val="single" w:color="auto" w:sz="4" w:space="0"/>
                    <w:bottom w:val="single" w:color="auto" w:sz="4" w:space="0"/>
                    <w:right w:val="single" w:color="auto" w:sz="4" w:space="0"/>
                  </w:tcBorders>
                  <w:noWrap w:val="0"/>
                  <w:vAlign w:val="center"/>
                </w:tcPr>
                <w:p w14:paraId="7E678E86">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39DBB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782" w:type="dxa"/>
                  <w:vMerge w:val="continue"/>
                  <w:tcBorders>
                    <w:left w:val="single" w:color="000000" w:sz="8" w:space="0"/>
                    <w:right w:val="single" w:color="000000" w:sz="8" w:space="0"/>
                  </w:tcBorders>
                  <w:noWrap w:val="0"/>
                  <w:vAlign w:val="center"/>
                </w:tcPr>
                <w:p w14:paraId="26622461">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800" w:type="dxa"/>
                  <w:vMerge w:val="continue"/>
                  <w:tcBorders>
                    <w:left w:val="nil"/>
                    <w:right w:val="single" w:color="000000" w:sz="8" w:space="0"/>
                  </w:tcBorders>
                  <w:noWrap w:val="0"/>
                  <w:vAlign w:val="center"/>
                </w:tcPr>
                <w:p w14:paraId="44A88390">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990" w:type="dxa"/>
                  <w:tcBorders>
                    <w:top w:val="nil"/>
                    <w:left w:val="single" w:color="000000" w:sz="8" w:space="0"/>
                    <w:bottom w:val="single" w:color="000000" w:sz="8" w:space="0"/>
                    <w:right w:val="single" w:color="auto" w:sz="4" w:space="0"/>
                  </w:tcBorders>
                  <w:noWrap w:val="0"/>
                  <w:vAlign w:val="center"/>
                </w:tcPr>
                <w:p w14:paraId="2C0BC1DC">
                  <w:pPr>
                    <w:shd w:val="clear"/>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林格曼黑度</w:t>
                  </w:r>
                </w:p>
              </w:tc>
              <w:tc>
                <w:tcPr>
                  <w:tcW w:w="866" w:type="dxa"/>
                  <w:vMerge w:val="continue"/>
                  <w:tcBorders>
                    <w:left w:val="single" w:color="auto" w:sz="4" w:space="0"/>
                    <w:right w:val="single" w:color="auto" w:sz="4" w:space="0"/>
                  </w:tcBorders>
                  <w:noWrap w:val="0"/>
                  <w:vAlign w:val="center"/>
                </w:tcPr>
                <w:p w14:paraId="62B98A91">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6F399924">
                  <w:pPr>
                    <w:keepNext w:val="0"/>
                    <w:keepLines w:val="0"/>
                    <w:widowControl/>
                    <w:suppressLineNumbers w:val="0"/>
                    <w:shd w:val="clear"/>
                    <w:spacing w:line="240" w:lineRule="auto"/>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1级</w:t>
                  </w:r>
                </w:p>
              </w:tc>
              <w:tc>
                <w:tcPr>
                  <w:tcW w:w="2673" w:type="dxa"/>
                  <w:tcBorders>
                    <w:left w:val="single" w:color="auto" w:sz="4" w:space="0"/>
                    <w:bottom w:val="single" w:color="auto" w:sz="4" w:space="0"/>
                    <w:right w:val="single" w:color="auto" w:sz="4" w:space="0"/>
                  </w:tcBorders>
                  <w:noWrap w:val="0"/>
                  <w:vAlign w:val="center"/>
                </w:tcPr>
                <w:p w14:paraId="2AFD98B5">
                  <w:pPr>
                    <w:keepNext w:val="0"/>
                    <w:keepLines w:val="0"/>
                    <w:widowControl/>
                    <w:suppressLineNumbers w:val="0"/>
                    <w:jc w:val="left"/>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《工业炉窑大气污染物排放标准》（GB9078-1996）表2金属熔化炉二级标准</w:t>
                  </w:r>
                </w:p>
              </w:tc>
            </w:tr>
            <w:tr w14:paraId="418DA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82" w:type="dxa"/>
                  <w:vMerge w:val="continue"/>
                  <w:tcBorders>
                    <w:top w:val="single" w:color="000000" w:sz="8" w:space="0"/>
                    <w:left w:val="single" w:color="000000" w:sz="8" w:space="0"/>
                    <w:bottom w:val="single" w:color="000000" w:sz="4" w:space="0"/>
                    <w:right w:val="single" w:color="000000" w:sz="8" w:space="0"/>
                  </w:tcBorders>
                  <w:noWrap w:val="0"/>
                  <w:vAlign w:val="center"/>
                </w:tcPr>
                <w:p w14:paraId="3816E5B5">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00" w:type="dxa"/>
                  <w:vMerge w:val="continue"/>
                  <w:tcBorders>
                    <w:top w:val="nil"/>
                    <w:left w:val="nil"/>
                    <w:bottom w:val="single" w:color="000000" w:sz="8" w:space="0"/>
                    <w:right w:val="single" w:color="000000" w:sz="8" w:space="0"/>
                  </w:tcBorders>
                  <w:noWrap w:val="0"/>
                  <w:vAlign w:val="center"/>
                </w:tcPr>
                <w:p w14:paraId="725EAAE7">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90" w:type="dxa"/>
                  <w:tcBorders>
                    <w:top w:val="nil"/>
                    <w:left w:val="single" w:color="000000" w:sz="8" w:space="0"/>
                    <w:bottom w:val="single" w:color="000000" w:sz="8" w:space="0"/>
                    <w:right w:val="single" w:color="auto" w:sz="4" w:space="0"/>
                  </w:tcBorders>
                  <w:noWrap w:val="0"/>
                  <w:vAlign w:val="center"/>
                </w:tcPr>
                <w:p w14:paraId="6F132305">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臭气浓度</w:t>
                  </w:r>
                </w:p>
              </w:tc>
              <w:tc>
                <w:tcPr>
                  <w:tcW w:w="866" w:type="dxa"/>
                  <w:vMerge w:val="continue"/>
                  <w:tcBorders>
                    <w:top w:val="single" w:color="auto" w:sz="4" w:space="0"/>
                    <w:left w:val="single" w:color="auto" w:sz="4" w:space="0"/>
                    <w:bottom w:val="single" w:color="auto" w:sz="4" w:space="0"/>
                    <w:right w:val="single" w:color="auto" w:sz="4" w:space="0"/>
                  </w:tcBorders>
                  <w:noWrap w:val="0"/>
                  <w:vAlign w:val="center"/>
                </w:tcPr>
                <w:p w14:paraId="19EE8643">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49B31CDC">
                  <w:pPr>
                    <w:pStyle w:val="75"/>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i w:val="0"/>
                      <w:iCs w:val="0"/>
                      <w:color w:val="000000" w:themeColor="text1"/>
                      <w:sz w:val="21"/>
                      <w:szCs w:val="21"/>
                      <w:highlight w:val="none"/>
                      <w:u w:val="none"/>
                      <w:lang w:eastAsia="zh-CN"/>
                      <w14:textFill>
                        <w14:solidFill>
                          <w14:schemeClr w14:val="tx1"/>
                        </w14:solidFill>
                      </w14:textFill>
                    </w:rPr>
                  </w:pPr>
                  <w:r>
                    <w:rPr>
                      <w:rFonts w:ascii="Times New Roman" w:hAnsi="Times New Roman" w:eastAsia="宋体"/>
                      <w:color w:val="000000" w:themeColor="text1"/>
                      <w:spacing w:val="0"/>
                      <w:sz w:val="21"/>
                      <w:szCs w:val="21"/>
                      <w:highlight w:val="none"/>
                      <w14:textFill>
                        <w14:solidFill>
                          <w14:schemeClr w14:val="tx1"/>
                        </w14:solidFill>
                      </w14:textFill>
                    </w:rPr>
                    <w:t>2000</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无量纲</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p>
              </w:tc>
              <w:tc>
                <w:tcPr>
                  <w:tcW w:w="2673" w:type="dxa"/>
                  <w:tcBorders>
                    <w:top w:val="single" w:color="auto" w:sz="4" w:space="0"/>
                    <w:left w:val="single" w:color="auto" w:sz="4" w:space="0"/>
                    <w:bottom w:val="single" w:color="auto" w:sz="4" w:space="0"/>
                    <w:right w:val="single" w:color="auto" w:sz="4" w:space="0"/>
                  </w:tcBorders>
                  <w:noWrap w:val="0"/>
                  <w:vAlign w:val="center"/>
                </w:tcPr>
                <w:p w14:paraId="73C2D627">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《恶臭污染物排放标准》（GB14554-93）表2恶臭污染物排放标准值</w:t>
                  </w:r>
                </w:p>
              </w:tc>
            </w:tr>
            <w:tr w14:paraId="6087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782" w:type="dxa"/>
                  <w:vMerge w:val="restart"/>
                  <w:tcBorders>
                    <w:top w:val="single" w:color="000000" w:sz="8" w:space="0"/>
                    <w:left w:val="single" w:color="000000" w:sz="8" w:space="0"/>
                    <w:bottom w:val="single" w:color="000000" w:sz="8" w:space="0"/>
                    <w:right w:val="single" w:color="000000" w:sz="8" w:space="0"/>
                  </w:tcBorders>
                  <w:noWrap w:val="0"/>
                  <w:vAlign w:val="center"/>
                </w:tcPr>
                <w:p w14:paraId="78CC2002">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厂界无组织废气</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68EB64B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990" w:type="dxa"/>
                  <w:tcBorders>
                    <w:top w:val="nil"/>
                    <w:left w:val="single" w:color="000000" w:sz="8" w:space="0"/>
                    <w:bottom w:val="single" w:color="000000" w:sz="8" w:space="0"/>
                    <w:right w:val="single" w:color="auto" w:sz="4" w:space="0"/>
                  </w:tcBorders>
                  <w:noWrap w:val="0"/>
                  <w:vAlign w:val="center"/>
                </w:tcPr>
                <w:p w14:paraId="5FA7B00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866" w:type="dxa"/>
                  <w:vMerge w:val="restart"/>
                  <w:tcBorders>
                    <w:top w:val="single" w:color="auto" w:sz="4" w:space="0"/>
                    <w:left w:val="single" w:color="auto" w:sz="4" w:space="0"/>
                    <w:right w:val="single" w:color="auto" w:sz="4" w:space="0"/>
                  </w:tcBorders>
                  <w:noWrap w:val="0"/>
                  <w:vAlign w:val="center"/>
                </w:tcPr>
                <w:p w14:paraId="2C3EF94A">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1854" w:type="dxa"/>
                  <w:tcBorders>
                    <w:top w:val="single" w:color="auto" w:sz="4" w:space="0"/>
                    <w:left w:val="single" w:color="auto" w:sz="4" w:space="0"/>
                    <w:bottom w:val="single" w:color="auto" w:sz="4" w:space="0"/>
                    <w:right w:val="single" w:color="auto" w:sz="4" w:space="0"/>
                  </w:tcBorders>
                  <w:noWrap w:val="0"/>
                  <w:vAlign w:val="center"/>
                </w:tcPr>
                <w:p w14:paraId="57A9A54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2673" w:type="dxa"/>
                  <w:vMerge w:val="restart"/>
                  <w:tcBorders>
                    <w:top w:val="single" w:color="auto" w:sz="4" w:space="0"/>
                    <w:left w:val="single" w:color="auto" w:sz="4" w:space="0"/>
                    <w:right w:val="single" w:color="auto" w:sz="4" w:space="0"/>
                  </w:tcBorders>
                  <w:noWrap w:val="0"/>
                  <w:vAlign w:val="center"/>
                </w:tcPr>
                <w:p w14:paraId="5B42C862">
                  <w:pPr>
                    <w:pStyle w:val="70"/>
                    <w:shd w:val="clear"/>
                    <w:spacing w:line="240" w:lineRule="auto"/>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olor w:val="000000" w:themeColor="text1"/>
                      <w:kern w:val="0"/>
                      <w:sz w:val="21"/>
                      <w:szCs w:val="21"/>
                      <w:highlight w:val="none"/>
                      <w:lang w:bidi="ar"/>
                      <w14:textFill>
                        <w14:solidFill>
                          <w14:schemeClr w14:val="tx1"/>
                        </w14:solidFill>
                      </w14:textFill>
                    </w:rPr>
                    <w:t>广东省地方标准《大气污染物排放限值》（DB44/27-2001）</w:t>
                  </w:r>
                  <w:r>
                    <w:rPr>
                      <w:rFonts w:hint="eastAsia"/>
                      <w:color w:val="000000" w:themeColor="text1"/>
                      <w:kern w:val="0"/>
                      <w:sz w:val="21"/>
                      <w:szCs w:val="21"/>
                      <w:highlight w:val="none"/>
                      <w:lang w:val="en-US" w:eastAsia="zh-CN" w:bidi="ar"/>
                      <w14:textFill>
                        <w14:solidFill>
                          <w14:schemeClr w14:val="tx1"/>
                        </w14:solidFill>
                      </w14:textFill>
                    </w:rPr>
                    <w:t>表2</w:t>
                  </w:r>
                  <w:r>
                    <w:rPr>
                      <w:rFonts w:hint="eastAsia"/>
                      <w:color w:val="000000" w:themeColor="text1"/>
                      <w:kern w:val="0"/>
                      <w:sz w:val="21"/>
                      <w:szCs w:val="21"/>
                      <w:highlight w:val="none"/>
                      <w:lang w:bidi="ar"/>
                      <w14:textFill>
                        <w14:solidFill>
                          <w14:schemeClr w14:val="tx1"/>
                        </w14:solidFill>
                      </w14:textFill>
                    </w:rPr>
                    <w:t>第二时段无组织排放监控浓度限值</w:t>
                  </w:r>
                </w:p>
              </w:tc>
            </w:tr>
            <w:tr w14:paraId="5C40E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82" w:type="dxa"/>
                  <w:vMerge w:val="continue"/>
                  <w:tcBorders>
                    <w:top w:val="single" w:color="000000" w:sz="8" w:space="0"/>
                    <w:left w:val="single" w:color="000000" w:sz="8" w:space="0"/>
                    <w:bottom w:val="single" w:color="000000" w:sz="8" w:space="0"/>
                    <w:right w:val="single" w:color="000000" w:sz="8" w:space="0"/>
                  </w:tcBorders>
                  <w:noWrap w:val="0"/>
                  <w:vAlign w:val="center"/>
                </w:tcPr>
                <w:p w14:paraId="298B5687">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4812CD60">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90" w:type="dxa"/>
                  <w:tcBorders>
                    <w:top w:val="nil"/>
                    <w:left w:val="single" w:color="000000" w:sz="8" w:space="0"/>
                    <w:bottom w:val="single" w:color="000000" w:sz="8" w:space="0"/>
                    <w:right w:val="single" w:color="auto" w:sz="4" w:space="0"/>
                  </w:tcBorders>
                  <w:noWrap w:val="0"/>
                  <w:vAlign w:val="center"/>
                </w:tcPr>
                <w:p w14:paraId="49AA0129">
                  <w:pPr>
                    <w:shd w:val="clear"/>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颗粒物</w:t>
                  </w:r>
                </w:p>
              </w:tc>
              <w:tc>
                <w:tcPr>
                  <w:tcW w:w="866" w:type="dxa"/>
                  <w:vMerge w:val="continue"/>
                  <w:tcBorders>
                    <w:left w:val="single" w:color="auto" w:sz="4" w:space="0"/>
                    <w:right w:val="single" w:color="auto" w:sz="4" w:space="0"/>
                  </w:tcBorders>
                  <w:noWrap w:val="0"/>
                  <w:vAlign w:val="center"/>
                </w:tcPr>
                <w:p w14:paraId="69525CB5">
                  <w:pPr>
                    <w:pStyle w:val="70"/>
                    <w:shd w:val="clear"/>
                    <w:spacing w:line="240" w:lineRule="auto"/>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854" w:type="dxa"/>
                  <w:tcBorders>
                    <w:top w:val="single" w:color="auto" w:sz="4" w:space="0"/>
                    <w:left w:val="single" w:color="000000" w:sz="8" w:space="0"/>
                    <w:bottom w:val="single" w:color="auto" w:sz="4" w:space="0"/>
                    <w:right w:val="single" w:color="000000" w:sz="8" w:space="0"/>
                  </w:tcBorders>
                  <w:noWrap w:val="0"/>
                  <w:vAlign w:val="center"/>
                </w:tcPr>
                <w:p w14:paraId="5733AA27">
                  <w:pPr>
                    <w:pStyle w:val="70"/>
                    <w:shd w:val="clear"/>
                    <w:spacing w:line="240" w:lineRule="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2673" w:type="dxa"/>
                  <w:vMerge w:val="continue"/>
                  <w:tcBorders>
                    <w:left w:val="single" w:color="auto" w:sz="4" w:space="0"/>
                    <w:right w:val="single" w:color="auto" w:sz="4" w:space="0"/>
                  </w:tcBorders>
                  <w:noWrap w:val="0"/>
                  <w:vAlign w:val="center"/>
                </w:tcPr>
                <w:p w14:paraId="7F4A9E02">
                  <w:pPr>
                    <w:pStyle w:val="70"/>
                    <w:shd w:val="clear"/>
                    <w:spacing w:line="240" w:lineRule="auto"/>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1469B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82" w:type="dxa"/>
                  <w:vMerge w:val="continue"/>
                  <w:tcBorders>
                    <w:top w:val="single" w:color="000000" w:sz="8" w:space="0"/>
                    <w:left w:val="single" w:color="000000" w:sz="8" w:space="0"/>
                    <w:bottom w:val="single" w:color="000000" w:sz="8" w:space="0"/>
                    <w:right w:val="single" w:color="000000" w:sz="8" w:space="0"/>
                  </w:tcBorders>
                  <w:noWrap w:val="0"/>
                  <w:vAlign w:val="center"/>
                </w:tcPr>
                <w:p w14:paraId="63A600B0">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193B76F3">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90" w:type="dxa"/>
                  <w:tcBorders>
                    <w:top w:val="nil"/>
                    <w:left w:val="single" w:color="000000" w:sz="8" w:space="0"/>
                    <w:bottom w:val="single" w:color="000000" w:sz="8" w:space="0"/>
                    <w:right w:val="single" w:color="auto" w:sz="4" w:space="0"/>
                  </w:tcBorders>
                  <w:noWrap w:val="0"/>
                  <w:vAlign w:val="center"/>
                </w:tcPr>
                <w:p w14:paraId="2D28D6C8">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SO₂</w:t>
                  </w:r>
                </w:p>
              </w:tc>
              <w:tc>
                <w:tcPr>
                  <w:tcW w:w="866" w:type="dxa"/>
                  <w:vMerge w:val="continue"/>
                  <w:tcBorders>
                    <w:left w:val="single" w:color="auto" w:sz="4" w:space="0"/>
                    <w:right w:val="single" w:color="auto" w:sz="4" w:space="0"/>
                  </w:tcBorders>
                  <w:noWrap w:val="0"/>
                  <w:vAlign w:val="center"/>
                </w:tcPr>
                <w:p w14:paraId="0A29EDE8">
                  <w:pPr>
                    <w:pStyle w:val="70"/>
                    <w:shd w:val="clear"/>
                    <w:spacing w:line="240" w:lineRule="auto"/>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854" w:type="dxa"/>
                  <w:tcBorders>
                    <w:top w:val="single" w:color="auto" w:sz="4" w:space="0"/>
                    <w:left w:val="single" w:color="000000" w:sz="8" w:space="0"/>
                    <w:bottom w:val="single" w:color="auto" w:sz="4" w:space="0"/>
                    <w:right w:val="single" w:color="000000" w:sz="8" w:space="0"/>
                  </w:tcBorders>
                  <w:noWrap w:val="0"/>
                  <w:vAlign w:val="center"/>
                </w:tcPr>
                <w:p w14:paraId="116AC4AB">
                  <w:pPr>
                    <w:pStyle w:val="70"/>
                    <w:shd w:val="clear"/>
                    <w:spacing w:line="240" w:lineRule="auto"/>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2673" w:type="dxa"/>
                  <w:vMerge w:val="continue"/>
                  <w:tcBorders>
                    <w:left w:val="single" w:color="auto" w:sz="4" w:space="0"/>
                    <w:right w:val="single" w:color="auto" w:sz="4" w:space="0"/>
                  </w:tcBorders>
                  <w:noWrap w:val="0"/>
                  <w:vAlign w:val="center"/>
                </w:tcPr>
                <w:p w14:paraId="45765FA7">
                  <w:pPr>
                    <w:pStyle w:val="70"/>
                    <w:shd w:val="clear"/>
                    <w:spacing w:line="240" w:lineRule="auto"/>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7912F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82" w:type="dxa"/>
                  <w:vMerge w:val="continue"/>
                  <w:tcBorders>
                    <w:top w:val="single" w:color="000000" w:sz="8" w:space="0"/>
                    <w:left w:val="single" w:color="000000" w:sz="8" w:space="0"/>
                    <w:bottom w:val="single" w:color="000000" w:sz="8" w:space="0"/>
                    <w:right w:val="single" w:color="000000" w:sz="8" w:space="0"/>
                  </w:tcBorders>
                  <w:noWrap w:val="0"/>
                  <w:vAlign w:val="center"/>
                </w:tcPr>
                <w:p w14:paraId="11E2345B">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6FCF13EF">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90" w:type="dxa"/>
                  <w:tcBorders>
                    <w:top w:val="nil"/>
                    <w:left w:val="single" w:color="000000" w:sz="8" w:space="0"/>
                    <w:bottom w:val="single" w:color="000000" w:sz="8" w:space="0"/>
                    <w:right w:val="single" w:color="auto" w:sz="4" w:space="0"/>
                  </w:tcBorders>
                  <w:noWrap w:val="0"/>
                  <w:vAlign w:val="center"/>
                </w:tcPr>
                <w:p w14:paraId="7BB198EC">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NOx</w:t>
                  </w:r>
                </w:p>
              </w:tc>
              <w:tc>
                <w:tcPr>
                  <w:tcW w:w="866" w:type="dxa"/>
                  <w:vMerge w:val="continue"/>
                  <w:tcBorders>
                    <w:left w:val="single" w:color="auto" w:sz="4" w:space="0"/>
                    <w:right w:val="single" w:color="auto" w:sz="4" w:space="0"/>
                  </w:tcBorders>
                  <w:noWrap w:val="0"/>
                  <w:vAlign w:val="center"/>
                </w:tcPr>
                <w:p w14:paraId="37473968">
                  <w:pPr>
                    <w:pStyle w:val="70"/>
                    <w:shd w:val="clear"/>
                    <w:spacing w:line="240" w:lineRule="auto"/>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854" w:type="dxa"/>
                  <w:tcBorders>
                    <w:top w:val="single" w:color="auto" w:sz="4" w:space="0"/>
                    <w:left w:val="single" w:color="000000" w:sz="8" w:space="0"/>
                    <w:bottom w:val="single" w:color="auto" w:sz="4" w:space="0"/>
                    <w:right w:val="single" w:color="000000" w:sz="8" w:space="0"/>
                  </w:tcBorders>
                  <w:noWrap w:val="0"/>
                  <w:vAlign w:val="center"/>
                </w:tcPr>
                <w:p w14:paraId="3B8AD322">
                  <w:pPr>
                    <w:pStyle w:val="70"/>
                    <w:shd w:val="clear"/>
                    <w:spacing w:line="240" w:lineRule="auto"/>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0.12</w:t>
                  </w:r>
                </w:p>
              </w:tc>
              <w:tc>
                <w:tcPr>
                  <w:tcW w:w="2673" w:type="dxa"/>
                  <w:vMerge w:val="continue"/>
                  <w:tcBorders>
                    <w:left w:val="single" w:color="auto" w:sz="4" w:space="0"/>
                    <w:bottom w:val="single" w:color="auto" w:sz="4" w:space="0"/>
                    <w:right w:val="single" w:color="auto" w:sz="4" w:space="0"/>
                  </w:tcBorders>
                  <w:noWrap w:val="0"/>
                  <w:vAlign w:val="center"/>
                </w:tcPr>
                <w:p w14:paraId="2706C084">
                  <w:pPr>
                    <w:pStyle w:val="70"/>
                    <w:shd w:val="clear"/>
                    <w:spacing w:line="240" w:lineRule="auto"/>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2099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82" w:type="dxa"/>
                  <w:vMerge w:val="continue"/>
                  <w:tcBorders>
                    <w:top w:val="single" w:color="000000" w:sz="8" w:space="0"/>
                    <w:left w:val="single" w:color="000000" w:sz="8" w:space="0"/>
                    <w:bottom w:val="single" w:color="000000" w:sz="8" w:space="0"/>
                    <w:right w:val="single" w:color="000000" w:sz="8" w:space="0"/>
                  </w:tcBorders>
                  <w:noWrap w:val="0"/>
                  <w:vAlign w:val="center"/>
                </w:tcPr>
                <w:p w14:paraId="3999F661">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1C3F609B">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90" w:type="dxa"/>
                  <w:tcBorders>
                    <w:top w:val="nil"/>
                    <w:left w:val="single" w:color="000000" w:sz="8" w:space="0"/>
                    <w:bottom w:val="single" w:color="auto" w:sz="4" w:space="0"/>
                    <w:right w:val="single" w:color="000000" w:sz="8" w:space="0"/>
                  </w:tcBorders>
                  <w:noWrap w:val="0"/>
                  <w:vAlign w:val="center"/>
                </w:tcPr>
                <w:p w14:paraId="364F4EE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臭气浓度</w:t>
                  </w:r>
                </w:p>
              </w:tc>
              <w:tc>
                <w:tcPr>
                  <w:tcW w:w="866" w:type="dxa"/>
                  <w:vMerge w:val="continue"/>
                  <w:tcBorders>
                    <w:left w:val="single" w:color="auto" w:sz="4" w:space="0"/>
                    <w:bottom w:val="single" w:color="auto" w:sz="4" w:space="0"/>
                    <w:right w:val="single" w:color="auto" w:sz="4" w:space="0"/>
                  </w:tcBorders>
                  <w:noWrap w:val="0"/>
                  <w:vAlign w:val="center"/>
                </w:tcPr>
                <w:p w14:paraId="68DEC1ED">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top"/>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p>
              </w:tc>
              <w:tc>
                <w:tcPr>
                  <w:tcW w:w="1854" w:type="dxa"/>
                  <w:tcBorders>
                    <w:top w:val="nil"/>
                    <w:left w:val="single" w:color="000000" w:sz="8" w:space="0"/>
                    <w:bottom w:val="single" w:color="auto" w:sz="4" w:space="0"/>
                    <w:right w:val="single" w:color="000000" w:sz="8" w:space="0"/>
                  </w:tcBorders>
                  <w:noWrap w:val="0"/>
                  <w:vAlign w:val="center"/>
                </w:tcPr>
                <w:p w14:paraId="613969E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20（无量纲</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2673" w:type="dxa"/>
                  <w:tcBorders>
                    <w:top w:val="single" w:color="auto" w:sz="4" w:space="0"/>
                    <w:left w:val="single" w:color="auto" w:sz="4" w:space="0"/>
                    <w:bottom w:val="single" w:color="auto" w:sz="4" w:space="0"/>
                    <w:right w:val="single" w:color="auto" w:sz="4" w:space="0"/>
                  </w:tcBorders>
                  <w:noWrap w:val="0"/>
                  <w:vAlign w:val="center"/>
                </w:tcPr>
                <w:p w14:paraId="69E648D4">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000000" w:themeColor="text1"/>
                      <w:spacing w:val="0"/>
                      <w:sz w:val="21"/>
                      <w:szCs w:val="21"/>
                      <w:highlight w:val="none"/>
                      <w14:textFill>
                        <w14:solidFill>
                          <w14:schemeClr w14:val="tx1"/>
                        </w14:solidFill>
                      </w14:textFill>
                    </w:rPr>
                  </w:pPr>
                  <w:r>
                    <w:rPr>
                      <w:rFonts w:ascii="Times New Roman" w:hAnsi="Times New Roman" w:eastAsia="宋体"/>
                      <w:color w:val="000000" w:themeColor="text1"/>
                      <w:spacing w:val="0"/>
                      <w:sz w:val="21"/>
                      <w:szCs w:val="21"/>
                      <w:highlight w:val="none"/>
                      <w14:textFill>
                        <w14:solidFill>
                          <w14:schemeClr w14:val="tx1"/>
                        </w14:solidFill>
                      </w14:textFill>
                    </w:rPr>
                    <w:t>恶臭污染物排放标准</w:t>
                  </w:r>
                </w:p>
                <w:p w14:paraId="0E22DA0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ascii="Times New Roman" w:hAnsi="Times New Roman" w:eastAsia="宋体"/>
                      <w:color w:val="000000" w:themeColor="text1"/>
                      <w:spacing w:val="0"/>
                      <w:sz w:val="21"/>
                      <w:szCs w:val="21"/>
                      <w:highlight w:val="none"/>
                      <w14:textFill>
                        <w14:solidFill>
                          <w14:schemeClr w14:val="tx1"/>
                        </w14:solidFill>
                      </w14:textFill>
                    </w:rPr>
                    <w:t>(GB14554-93</w:t>
                  </w:r>
                  <w:r>
                    <w:rPr>
                      <w:rFonts w:hint="eastAsia" w:ascii="Times New Roman" w:hAnsi="Times New Roman"/>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表1恶臭污染物厂界标准值</w:t>
                  </w:r>
                </w:p>
              </w:tc>
            </w:tr>
            <w:tr w14:paraId="6EC79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782" w:type="dxa"/>
                  <w:vMerge w:val="restart"/>
                  <w:tcBorders>
                    <w:top w:val="single" w:color="000000" w:sz="8" w:space="0"/>
                    <w:left w:val="single" w:color="000000" w:sz="8" w:space="0"/>
                    <w:right w:val="single" w:color="000000" w:sz="8" w:space="0"/>
                  </w:tcBorders>
                  <w:noWrap w:val="0"/>
                  <w:vAlign w:val="center"/>
                </w:tcPr>
                <w:p w14:paraId="6C5A55F4">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厂区内无组织废气</w:t>
                  </w:r>
                </w:p>
              </w:tc>
              <w:tc>
                <w:tcPr>
                  <w:tcW w:w="800" w:type="dxa"/>
                  <w:vMerge w:val="restart"/>
                  <w:tcBorders>
                    <w:top w:val="nil"/>
                    <w:left w:val="nil"/>
                    <w:right w:val="single" w:color="auto" w:sz="4" w:space="0"/>
                  </w:tcBorders>
                  <w:noWrap w:val="0"/>
                  <w:vAlign w:val="center"/>
                </w:tcPr>
                <w:p w14:paraId="04FCF53E">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990" w:type="dxa"/>
                  <w:vMerge w:val="restart"/>
                  <w:tcBorders>
                    <w:top w:val="single" w:color="auto" w:sz="4" w:space="0"/>
                    <w:left w:val="single" w:color="auto" w:sz="4" w:space="0"/>
                    <w:bottom w:val="single" w:color="auto" w:sz="4" w:space="0"/>
                    <w:right w:val="single" w:color="auto" w:sz="4" w:space="0"/>
                  </w:tcBorders>
                  <w:noWrap w:val="0"/>
                  <w:vAlign w:val="center"/>
                </w:tcPr>
                <w:p w14:paraId="078B8489">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738D28B1">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1854" w:type="dxa"/>
                  <w:tcBorders>
                    <w:top w:val="single" w:color="auto" w:sz="4" w:space="0"/>
                    <w:left w:val="single" w:color="auto" w:sz="4" w:space="0"/>
                    <w:bottom w:val="single" w:color="auto" w:sz="4" w:space="0"/>
                    <w:right w:val="single" w:color="auto" w:sz="4" w:space="0"/>
                  </w:tcBorders>
                  <w:noWrap w:val="0"/>
                  <w:vAlign w:val="center"/>
                </w:tcPr>
                <w:p w14:paraId="10C4E0F2">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6（监控点处1h平均浓度值）</w:t>
                  </w:r>
                </w:p>
              </w:tc>
              <w:tc>
                <w:tcPr>
                  <w:tcW w:w="2673" w:type="dxa"/>
                  <w:vMerge w:val="restart"/>
                  <w:tcBorders>
                    <w:top w:val="single" w:color="auto" w:sz="4" w:space="0"/>
                    <w:left w:val="single" w:color="auto" w:sz="4" w:space="0"/>
                    <w:bottom w:val="single" w:color="auto" w:sz="4" w:space="0"/>
                    <w:right w:val="single" w:color="auto" w:sz="4" w:space="0"/>
                  </w:tcBorders>
                  <w:noWrap w:val="0"/>
                  <w:vAlign w:val="center"/>
                </w:tcPr>
                <w:p w14:paraId="36CDB9E0">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ascii="Times New Roman" w:hAnsi="Times New Roman" w:eastAsia="宋体"/>
                      <w:color w:val="000000" w:themeColor="text1"/>
                      <w:spacing w:val="0"/>
                      <w:sz w:val="21"/>
                      <w:szCs w:val="21"/>
                      <w:highlight w:val="none"/>
                      <w14:textFill>
                        <w14:solidFill>
                          <w14:schemeClr w14:val="tx1"/>
                        </w14:solidFill>
                      </w14:textFill>
                    </w:rPr>
                    <w:t>《铸造工业大气污染物排放标准》</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GB39726-2020</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表A.1厂区内颗粒物、VOCs无组织排放限值</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及</w:t>
                  </w:r>
                  <w:r>
                    <w:rPr>
                      <w:rFonts w:hint="eastAsia"/>
                      <w:color w:val="000000" w:themeColor="text1"/>
                      <w:spacing w:val="0"/>
                      <w:sz w:val="21"/>
                      <w:szCs w:val="21"/>
                      <w:highlight w:val="none"/>
                      <w:lang w:val="en-US" w:eastAsia="zh-CN"/>
                      <w14:textFill>
                        <w14:solidFill>
                          <w14:schemeClr w14:val="tx1"/>
                        </w14:solidFill>
                      </w14:textFill>
                    </w:rPr>
                    <w:t>广东省地方标准</w:t>
                  </w:r>
                  <w:r>
                    <w:rPr>
                      <w:rFonts w:hint="eastAsia" w:ascii="Times New Roman" w:hAnsi="Times New Roman" w:eastAsia="宋体"/>
                      <w:color w:val="000000" w:themeColor="text1"/>
                      <w:spacing w:val="0"/>
                      <w:sz w:val="21"/>
                      <w:szCs w:val="21"/>
                      <w:highlight w:val="none"/>
                      <w14:textFill>
                        <w14:solidFill>
                          <w14:schemeClr w14:val="tx1"/>
                        </w14:solidFill>
                      </w14:textFill>
                    </w:rPr>
                    <w:t>《固定污染源挥发性有机物综合排放标准》（DB44/2367-2022）表3厂区内VOCs无组织排放限值</w:t>
                  </w:r>
                  <w:r>
                    <w:rPr>
                      <w:rFonts w:hint="eastAsia"/>
                      <w:color w:val="000000" w:themeColor="text1"/>
                      <w:spacing w:val="0"/>
                      <w:sz w:val="21"/>
                      <w:szCs w:val="21"/>
                      <w:highlight w:val="none"/>
                      <w:lang w:val="en-US" w:eastAsia="zh-CN"/>
                      <w14:textFill>
                        <w14:solidFill>
                          <w14:schemeClr w14:val="tx1"/>
                        </w14:solidFill>
                      </w14:textFill>
                    </w:rPr>
                    <w:t>两</w:t>
                  </w:r>
                  <w:r>
                    <w:rPr>
                      <w:rFonts w:hint="eastAsia" w:ascii="Times New Roman" w:hAnsi="Times New Roman" w:eastAsia="宋体"/>
                      <w:color w:val="000000" w:themeColor="text1"/>
                      <w:spacing w:val="0"/>
                      <w:sz w:val="21"/>
                      <w:szCs w:val="21"/>
                      <w:highlight w:val="none"/>
                      <w:lang w:val="en-US" w:eastAsia="zh-CN"/>
                      <w14:textFill>
                        <w14:solidFill>
                          <w14:schemeClr w14:val="tx1"/>
                        </w14:solidFill>
                      </w14:textFill>
                    </w:rPr>
                    <w:t>者较严值</w:t>
                  </w:r>
                </w:p>
              </w:tc>
            </w:tr>
            <w:tr w14:paraId="46A43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jc w:val="center"/>
              </w:trPr>
              <w:tc>
                <w:tcPr>
                  <w:tcW w:w="782" w:type="dxa"/>
                  <w:vMerge w:val="continue"/>
                  <w:tcBorders>
                    <w:left w:val="single" w:color="000000" w:sz="8" w:space="0"/>
                    <w:right w:val="single" w:color="000000" w:sz="8" w:space="0"/>
                  </w:tcBorders>
                  <w:noWrap w:val="0"/>
                  <w:vAlign w:val="center"/>
                </w:tcPr>
                <w:p w14:paraId="31311E47">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00" w:type="dxa"/>
                  <w:vMerge w:val="continue"/>
                  <w:tcBorders>
                    <w:left w:val="nil"/>
                    <w:right w:val="single" w:color="auto" w:sz="4" w:space="0"/>
                  </w:tcBorders>
                  <w:noWrap w:val="0"/>
                  <w:vAlign w:val="center"/>
                </w:tcPr>
                <w:p w14:paraId="624C6A3B">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90" w:type="dxa"/>
                  <w:vMerge w:val="continue"/>
                  <w:tcBorders>
                    <w:top w:val="single" w:color="auto" w:sz="4" w:space="0"/>
                    <w:left w:val="single" w:color="auto" w:sz="4" w:space="0"/>
                    <w:bottom w:val="single" w:color="auto" w:sz="4" w:space="0"/>
                    <w:right w:val="single" w:color="auto" w:sz="4" w:space="0"/>
                  </w:tcBorders>
                  <w:noWrap w:val="0"/>
                  <w:vAlign w:val="center"/>
                </w:tcPr>
                <w:p w14:paraId="6559EC4A">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66" w:type="dxa"/>
                  <w:tcBorders>
                    <w:top w:val="single" w:color="auto" w:sz="4" w:space="0"/>
                    <w:left w:val="single" w:color="auto" w:sz="4" w:space="0"/>
                    <w:bottom w:val="single" w:color="auto" w:sz="4" w:space="0"/>
                    <w:right w:val="single" w:color="auto" w:sz="4" w:space="0"/>
                  </w:tcBorders>
                  <w:noWrap w:val="0"/>
                  <w:vAlign w:val="center"/>
                </w:tcPr>
                <w:p w14:paraId="1BC90711">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w:t>
                  </w:r>
                </w:p>
              </w:tc>
              <w:tc>
                <w:tcPr>
                  <w:tcW w:w="1854" w:type="dxa"/>
                  <w:tcBorders>
                    <w:top w:val="single" w:color="auto" w:sz="4" w:space="0"/>
                    <w:left w:val="single" w:color="auto" w:sz="4" w:space="0"/>
                    <w:bottom w:val="single" w:color="auto" w:sz="4" w:space="0"/>
                    <w:right w:val="single" w:color="auto" w:sz="4" w:space="0"/>
                  </w:tcBorders>
                  <w:noWrap w:val="0"/>
                  <w:vAlign w:val="center"/>
                </w:tcPr>
                <w:p w14:paraId="034C3E8B">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t>20(监控点处任意一点的浓度值)</w:t>
                  </w:r>
                </w:p>
              </w:tc>
              <w:tc>
                <w:tcPr>
                  <w:tcW w:w="2673" w:type="dxa"/>
                  <w:vMerge w:val="continue"/>
                  <w:tcBorders>
                    <w:top w:val="single" w:color="auto" w:sz="4" w:space="0"/>
                    <w:left w:val="single" w:color="auto" w:sz="4" w:space="0"/>
                    <w:bottom w:val="single" w:color="auto" w:sz="4" w:space="0"/>
                    <w:right w:val="single" w:color="auto" w:sz="4" w:space="0"/>
                  </w:tcBorders>
                  <w:noWrap w:val="0"/>
                  <w:vAlign w:val="center"/>
                </w:tcPr>
                <w:p w14:paraId="6666D19C">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6CBF4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jc w:val="center"/>
              </w:trPr>
              <w:tc>
                <w:tcPr>
                  <w:tcW w:w="782" w:type="dxa"/>
                  <w:vMerge w:val="continue"/>
                  <w:tcBorders>
                    <w:left w:val="single" w:color="000000" w:sz="8" w:space="0"/>
                    <w:bottom w:val="single" w:color="000000" w:sz="4" w:space="0"/>
                    <w:right w:val="single" w:color="000000" w:sz="8" w:space="0"/>
                  </w:tcBorders>
                  <w:noWrap w:val="0"/>
                  <w:vAlign w:val="center"/>
                </w:tcPr>
                <w:p w14:paraId="30386F0E">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00" w:type="dxa"/>
                  <w:vMerge w:val="continue"/>
                  <w:tcBorders>
                    <w:left w:val="nil"/>
                    <w:bottom w:val="single" w:color="000000" w:sz="8" w:space="0"/>
                    <w:right w:val="single" w:color="auto" w:sz="4" w:space="0"/>
                  </w:tcBorders>
                  <w:noWrap w:val="0"/>
                  <w:vAlign w:val="center"/>
                </w:tcPr>
                <w:p w14:paraId="2A41AADD">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90" w:type="dxa"/>
                  <w:tcBorders>
                    <w:top w:val="single" w:color="auto" w:sz="4" w:space="0"/>
                    <w:left w:val="single" w:color="auto" w:sz="4" w:space="0"/>
                    <w:bottom w:val="single" w:color="auto" w:sz="4" w:space="0"/>
                    <w:right w:val="single" w:color="auto" w:sz="4" w:space="0"/>
                  </w:tcBorders>
                  <w:noWrap w:val="0"/>
                  <w:vAlign w:val="center"/>
                </w:tcPr>
                <w:p w14:paraId="06E44177">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颗粒物</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1B747F09">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w:t>
                  </w:r>
                </w:p>
              </w:tc>
              <w:tc>
                <w:tcPr>
                  <w:tcW w:w="1854" w:type="dxa"/>
                  <w:tcBorders>
                    <w:top w:val="single" w:color="auto" w:sz="4" w:space="0"/>
                    <w:left w:val="single" w:color="auto" w:sz="4" w:space="0"/>
                    <w:bottom w:val="single" w:color="auto" w:sz="4" w:space="0"/>
                    <w:right w:val="single" w:color="auto" w:sz="4" w:space="0"/>
                  </w:tcBorders>
                  <w:noWrap w:val="0"/>
                  <w:vAlign w:val="center"/>
                </w:tcPr>
                <w:p w14:paraId="0CEAC19D">
                  <w:pPr>
                    <w:keepNext w:val="0"/>
                    <w:keepLines w:val="0"/>
                    <w:widowControl/>
                    <w:suppressLineNumbers w:val="0"/>
                    <w:spacing w:line="240" w:lineRule="auto"/>
                    <w:jc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lang w:val="en-US" w:eastAsia="zh-CN" w:bidi="ar"/>
                      <w14:textFill>
                        <w14:solidFill>
                          <w14:schemeClr w14:val="tx1"/>
                        </w14:solidFill>
                      </w14:textFill>
                    </w:rPr>
                    <w:t>（监控点处</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1h</w:t>
                  </w:r>
                  <w:r>
                    <w:rPr>
                      <w:rFonts w:hint="eastAsia" w:ascii="宋体" w:hAnsi="宋体" w:eastAsia="宋体" w:cs="宋体"/>
                      <w:color w:val="000000" w:themeColor="text1"/>
                      <w:kern w:val="0"/>
                      <w:sz w:val="21"/>
                      <w:szCs w:val="21"/>
                      <w:lang w:val="en-US" w:eastAsia="zh-CN" w:bidi="ar"/>
                      <w14:textFill>
                        <w14:solidFill>
                          <w14:schemeClr w14:val="tx1"/>
                        </w14:solidFill>
                      </w14:textFill>
                    </w:rPr>
                    <w:t>平均浓度值）</w:t>
                  </w:r>
                </w:p>
              </w:tc>
              <w:tc>
                <w:tcPr>
                  <w:tcW w:w="2673" w:type="dxa"/>
                  <w:tcBorders>
                    <w:top w:val="single" w:color="auto" w:sz="4" w:space="0"/>
                    <w:left w:val="single" w:color="auto" w:sz="4" w:space="0"/>
                    <w:bottom w:val="single" w:color="auto" w:sz="4" w:space="0"/>
                    <w:right w:val="single" w:color="auto" w:sz="4" w:space="0"/>
                  </w:tcBorders>
                  <w:noWrap w:val="0"/>
                  <w:vAlign w:val="center"/>
                </w:tcPr>
                <w:p w14:paraId="6D0E1779">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ascii="Times New Roman" w:hAnsi="Times New Roman" w:eastAsia="宋体"/>
                      <w:color w:val="000000" w:themeColor="text1"/>
                      <w:spacing w:val="0"/>
                      <w:sz w:val="21"/>
                      <w:szCs w:val="21"/>
                      <w:highlight w:val="none"/>
                      <w14:textFill>
                        <w14:solidFill>
                          <w14:schemeClr w14:val="tx1"/>
                        </w14:solidFill>
                      </w14:textFill>
                    </w:rPr>
                    <w:t>《铸造工业大气污染物排放标准》</w:t>
                  </w:r>
                  <w:r>
                    <w:rPr>
                      <w:rFonts w:hint="eastAsia" w:ascii="Times New Roman" w:hAnsi="Times New Roman"/>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GB39726-2020</w:t>
                  </w:r>
                  <w:r>
                    <w:rPr>
                      <w:rFonts w:hint="eastAsia" w:ascii="Times New Roman" w:hAnsi="Times New Roman"/>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表A.1厂区内颗粒物、VOCs无组织排放限值</w:t>
                  </w:r>
                </w:p>
              </w:tc>
            </w:tr>
          </w:tbl>
          <w:p w14:paraId="36F3D621">
            <w:pPr>
              <w:shd w:val="clear"/>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590780EE">
            <w:pPr>
              <w:shd w:val="clear"/>
              <w:spacing w:line="360" w:lineRule="auto"/>
              <w:ind w:firstLine="482" w:firstLineChars="200"/>
              <w:jc w:val="both"/>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三、噪声排放标准</w:t>
            </w:r>
          </w:p>
          <w:p w14:paraId="227F303B">
            <w:pPr>
              <w:pStyle w:val="14"/>
              <w:shd w:val="clear"/>
              <w:bidi w:val="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项目运营期厂界执行《工业企业厂界环境噪声排放标准》（GB12348-2008）3类标准。</w:t>
            </w:r>
          </w:p>
          <w:p w14:paraId="49A842B6">
            <w:pPr>
              <w:keepNext/>
              <w:keepLines/>
              <w:widowControl w:val="0"/>
              <w:numPr>
                <w:ilvl w:val="0"/>
                <w:numId w:val="0"/>
              </w:numPr>
              <w:suppressLineNumbers w:val="0"/>
              <w:shd w:val="clear"/>
              <w:spacing w:before="0" w:beforeAutospacing="0" w:after="0" w:afterAutospacing="0" w:line="360" w:lineRule="auto"/>
              <w:ind w:left="420" w:leftChars="0" w:right="0" w:rightChars="0" w:hanging="420" w:firstLineChars="0"/>
              <w:jc w:val="center"/>
              <w:outlineLvl w:val="7"/>
              <w:rPr>
                <w:rFonts w:hint="default" w:ascii="Times New Roman" w:hAnsi="Times New Roman" w:eastAsia="宋体" w:cs="Times New Roman"/>
                <w:b/>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zh-CN" w:eastAsia="zh-CN" w:bidi="ar-SA"/>
                <w14:textFill>
                  <w14:solidFill>
                    <w14:schemeClr w14:val="tx1"/>
                  </w14:solidFill>
                </w14:textFill>
              </w:rPr>
              <w:t>表</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1</w:t>
            </w:r>
            <w:r>
              <w:rPr>
                <w:rFonts w:hint="eastAsia" w:cs="Times New Roman"/>
                <w:b/>
                <w:bCs/>
                <w:color w:val="000000" w:themeColor="text1"/>
                <w:kern w:val="2"/>
                <w:sz w:val="24"/>
                <w:szCs w:val="24"/>
                <w:highlight w:val="none"/>
                <w:lang w:val="en-US" w:eastAsia="zh-CN" w:bidi="ar-SA"/>
                <w14:textFill>
                  <w14:solidFill>
                    <w14:schemeClr w14:val="tx1"/>
                  </w14:solidFill>
                </w14:textFill>
              </w:rPr>
              <w:t>9</w:t>
            </w:r>
            <w:r>
              <w:rPr>
                <w:rFonts w:hint="default" w:ascii="Times New Roman" w:hAnsi="Times New Roman" w:eastAsia="宋体" w:cs="Times New Roman"/>
                <w:b/>
                <w:bCs/>
                <w:color w:val="000000" w:themeColor="text1"/>
                <w:kern w:val="2"/>
                <w:sz w:val="24"/>
                <w:szCs w:val="24"/>
                <w:highlight w:val="none"/>
                <w:lang w:val="zh-CN" w:eastAsia="zh-CN" w:bidi="ar-SA"/>
                <w14:textFill>
                  <w14:solidFill>
                    <w14:schemeClr w14:val="tx1"/>
                  </w14:solidFill>
                </w14:textFill>
              </w:rPr>
              <w:t>工业企业厂界环境噪声排放限值单位：dB（A）</w:t>
            </w:r>
          </w:p>
          <w:tbl>
            <w:tblPr>
              <w:tblStyle w:val="33"/>
              <w:tblW w:w="6680" w:type="dxa"/>
              <w:tblInd w:w="11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05"/>
              <w:gridCol w:w="2262"/>
              <w:gridCol w:w="1025"/>
              <w:gridCol w:w="1888"/>
            </w:tblGrid>
            <w:tr w14:paraId="6957A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126" w:type="pct"/>
                  <w:tcBorders>
                    <w:top w:val="single" w:color="000000" w:sz="4" w:space="0"/>
                    <w:left w:val="single" w:color="000000" w:sz="4" w:space="0"/>
                    <w:bottom w:val="single" w:color="000000" w:sz="4" w:space="0"/>
                    <w:right w:val="single" w:color="000000" w:sz="4" w:space="0"/>
                  </w:tcBorders>
                  <w:noWrap w:val="0"/>
                  <w:vAlign w:val="center"/>
                </w:tcPr>
                <w:p w14:paraId="122DB99C">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厂界方位</w:t>
                  </w:r>
                </w:p>
              </w:tc>
              <w:tc>
                <w:tcPr>
                  <w:tcW w:w="1693" w:type="pct"/>
                  <w:tcBorders>
                    <w:top w:val="single" w:color="000000" w:sz="4" w:space="0"/>
                    <w:left w:val="single" w:color="000000" w:sz="4" w:space="0"/>
                    <w:bottom w:val="single" w:color="000000" w:sz="4" w:space="0"/>
                    <w:right w:val="single" w:color="000000" w:sz="4" w:space="0"/>
                  </w:tcBorders>
                  <w:noWrap w:val="0"/>
                  <w:vAlign w:val="center"/>
                </w:tcPr>
                <w:p w14:paraId="61A2FBFE">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类别</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3165C22">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昼间</w:t>
                  </w:r>
                </w:p>
              </w:tc>
              <w:tc>
                <w:tcPr>
                  <w:tcW w:w="1413" w:type="pct"/>
                  <w:tcBorders>
                    <w:top w:val="single" w:color="000000" w:sz="4" w:space="0"/>
                    <w:left w:val="single" w:color="000000" w:sz="4" w:space="0"/>
                    <w:bottom w:val="single" w:color="000000" w:sz="4" w:space="0"/>
                    <w:right w:val="single" w:color="000000" w:sz="4" w:space="0"/>
                  </w:tcBorders>
                  <w:noWrap w:val="0"/>
                  <w:vAlign w:val="center"/>
                </w:tcPr>
                <w:p w14:paraId="2D7D33D6">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夜间</w:t>
                  </w: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（不生产）</w:t>
                  </w:r>
                </w:p>
              </w:tc>
            </w:tr>
            <w:tr w14:paraId="15F1D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1126" w:type="pct"/>
                  <w:vMerge w:val="restart"/>
                  <w:tcBorders>
                    <w:top w:val="single" w:color="000000" w:sz="4" w:space="0"/>
                    <w:left w:val="single" w:color="000000" w:sz="4" w:space="0"/>
                    <w:right w:val="single" w:color="000000" w:sz="4" w:space="0"/>
                  </w:tcBorders>
                  <w:noWrap/>
                  <w:vAlign w:val="center"/>
                </w:tcPr>
                <w:p w14:paraId="287D09D4">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西北、东北、东南、西南</w:t>
                  </w:r>
                </w:p>
              </w:tc>
              <w:tc>
                <w:tcPr>
                  <w:tcW w:w="1693" w:type="pct"/>
                  <w:tcBorders>
                    <w:top w:val="single" w:color="000000" w:sz="4" w:space="0"/>
                    <w:left w:val="single" w:color="000000" w:sz="4" w:space="0"/>
                    <w:bottom w:val="single" w:color="000000" w:sz="4" w:space="0"/>
                    <w:right w:val="single" w:color="000000" w:sz="4" w:space="0"/>
                  </w:tcBorders>
                  <w:noWrap/>
                  <w:vAlign w:val="center"/>
                </w:tcPr>
                <w:p w14:paraId="512A8D87">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0类声环境功能区</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58522C21">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50</w:t>
                  </w:r>
                </w:p>
              </w:tc>
              <w:tc>
                <w:tcPr>
                  <w:tcW w:w="1413" w:type="pct"/>
                  <w:tcBorders>
                    <w:top w:val="single" w:color="000000" w:sz="4" w:space="0"/>
                    <w:left w:val="single" w:color="000000" w:sz="4" w:space="0"/>
                    <w:bottom w:val="single" w:color="000000" w:sz="4" w:space="0"/>
                    <w:right w:val="single" w:color="000000" w:sz="4" w:space="0"/>
                  </w:tcBorders>
                  <w:noWrap w:val="0"/>
                  <w:vAlign w:val="center"/>
                </w:tcPr>
                <w:p w14:paraId="69C0447A">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40</w:t>
                  </w:r>
                </w:p>
              </w:tc>
            </w:tr>
            <w:tr w14:paraId="33F93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6" w:type="pct"/>
                  <w:vMerge w:val="continue"/>
                  <w:tcBorders>
                    <w:left w:val="single" w:color="000000" w:sz="4" w:space="0"/>
                    <w:right w:val="single" w:color="000000" w:sz="4" w:space="0"/>
                  </w:tcBorders>
                  <w:noWrap/>
                  <w:vAlign w:val="center"/>
                </w:tcPr>
                <w:p w14:paraId="528D2A9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693" w:type="pct"/>
                  <w:tcBorders>
                    <w:top w:val="single" w:color="000000" w:sz="4" w:space="0"/>
                    <w:left w:val="single" w:color="000000" w:sz="4" w:space="0"/>
                    <w:bottom w:val="single" w:color="000000" w:sz="4" w:space="0"/>
                    <w:right w:val="single" w:color="000000" w:sz="4" w:space="0"/>
                  </w:tcBorders>
                  <w:noWrap/>
                  <w:vAlign w:val="center"/>
                </w:tcPr>
                <w:p w14:paraId="409777F0">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1类声环境功能区</w:t>
                  </w:r>
                </w:p>
              </w:tc>
              <w:tc>
                <w:tcPr>
                  <w:tcW w:w="767" w:type="pct"/>
                  <w:tcBorders>
                    <w:top w:val="single" w:color="000000" w:sz="4" w:space="0"/>
                    <w:left w:val="single" w:color="000000" w:sz="4" w:space="0"/>
                    <w:bottom w:val="single" w:color="000000" w:sz="4" w:space="0"/>
                    <w:right w:val="single" w:color="000000" w:sz="4" w:space="0"/>
                  </w:tcBorders>
                  <w:noWrap/>
                  <w:vAlign w:val="center"/>
                </w:tcPr>
                <w:p w14:paraId="634F3BC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55</w:t>
                  </w:r>
                </w:p>
              </w:tc>
              <w:tc>
                <w:tcPr>
                  <w:tcW w:w="1413" w:type="pct"/>
                  <w:tcBorders>
                    <w:top w:val="single" w:color="000000" w:sz="4" w:space="0"/>
                    <w:left w:val="single" w:color="000000" w:sz="4" w:space="0"/>
                    <w:bottom w:val="single" w:color="000000" w:sz="4" w:space="0"/>
                    <w:right w:val="single" w:color="000000" w:sz="4" w:space="0"/>
                  </w:tcBorders>
                  <w:noWrap/>
                  <w:vAlign w:val="center"/>
                </w:tcPr>
                <w:p w14:paraId="23E8D394">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45</w:t>
                  </w:r>
                </w:p>
              </w:tc>
            </w:tr>
            <w:tr w14:paraId="6806A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126" w:type="pct"/>
                  <w:vMerge w:val="continue"/>
                  <w:tcBorders>
                    <w:left w:val="single" w:color="000000" w:sz="4" w:space="0"/>
                    <w:right w:val="single" w:color="000000" w:sz="4" w:space="0"/>
                  </w:tcBorders>
                  <w:shd w:val="clear" w:color="auto" w:fill="auto"/>
                  <w:noWrap/>
                  <w:vAlign w:val="center"/>
                </w:tcPr>
                <w:p w14:paraId="05D9EE28">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D56D7">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2类声环境功能区</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2F9A1">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60</w:t>
                  </w:r>
                </w:p>
              </w:tc>
              <w:tc>
                <w:tcPr>
                  <w:tcW w:w="1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5DF55">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50</w:t>
                  </w:r>
                </w:p>
              </w:tc>
            </w:tr>
            <w:tr w14:paraId="05F48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126" w:type="pct"/>
                  <w:vMerge w:val="continue"/>
                  <w:tcBorders>
                    <w:left w:val="single" w:color="000000" w:sz="4" w:space="0"/>
                    <w:right w:val="single" w:color="000000" w:sz="4" w:space="0"/>
                  </w:tcBorders>
                  <w:shd w:val="clear" w:color="auto" w:fill="7F7F7F" w:themeFill="text1" w:themeFillTint="7F"/>
                  <w:noWrap/>
                  <w:vAlign w:val="center"/>
                </w:tcPr>
                <w:p w14:paraId="224F9F5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693" w:type="pct"/>
                  <w:tcBorders>
                    <w:top w:val="single" w:color="000000" w:sz="4" w:space="0"/>
                    <w:left w:val="single" w:color="000000" w:sz="4" w:space="0"/>
                    <w:bottom w:val="single" w:color="000000" w:sz="4" w:space="0"/>
                    <w:right w:val="single" w:color="000000" w:sz="4" w:space="0"/>
                  </w:tcBorders>
                  <w:shd w:val="clear" w:color="auto" w:fill="7F7F7F" w:themeFill="text1" w:themeFillTint="7F"/>
                  <w:noWrap/>
                  <w:vAlign w:val="center"/>
                </w:tcPr>
                <w:p w14:paraId="7874BAE0">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3类声环境功能区</w:t>
                  </w:r>
                </w:p>
              </w:tc>
              <w:tc>
                <w:tcPr>
                  <w:tcW w:w="767" w:type="pct"/>
                  <w:tcBorders>
                    <w:top w:val="single" w:color="000000" w:sz="4" w:space="0"/>
                    <w:left w:val="single" w:color="000000" w:sz="4" w:space="0"/>
                    <w:bottom w:val="single" w:color="000000" w:sz="4" w:space="0"/>
                    <w:right w:val="single" w:color="000000" w:sz="4" w:space="0"/>
                  </w:tcBorders>
                  <w:shd w:val="clear" w:color="auto" w:fill="7F7F7F" w:themeFill="text1" w:themeFillTint="7F"/>
                  <w:noWrap/>
                  <w:vAlign w:val="center"/>
                </w:tcPr>
                <w:p w14:paraId="5C792251">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65</w:t>
                  </w:r>
                </w:p>
              </w:tc>
              <w:tc>
                <w:tcPr>
                  <w:tcW w:w="1413" w:type="pct"/>
                  <w:tcBorders>
                    <w:top w:val="single" w:color="000000" w:sz="4" w:space="0"/>
                    <w:left w:val="single" w:color="000000" w:sz="4" w:space="0"/>
                    <w:bottom w:val="single" w:color="000000" w:sz="4" w:space="0"/>
                    <w:right w:val="single" w:color="000000" w:sz="4" w:space="0"/>
                  </w:tcBorders>
                  <w:shd w:val="clear" w:color="auto" w:fill="7F7F7F" w:themeFill="text1" w:themeFillTint="7F"/>
                  <w:noWrap/>
                  <w:vAlign w:val="center"/>
                </w:tcPr>
                <w:p w14:paraId="7060E76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55</w:t>
                  </w:r>
                </w:p>
              </w:tc>
            </w:tr>
            <w:tr w14:paraId="1A907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26" w:type="pct"/>
                  <w:vMerge w:val="continue"/>
                  <w:tcBorders>
                    <w:left w:val="single" w:color="000000" w:sz="4" w:space="0"/>
                    <w:bottom w:val="single" w:color="000000" w:sz="4" w:space="0"/>
                    <w:right w:val="single" w:color="000000" w:sz="4" w:space="0"/>
                  </w:tcBorders>
                  <w:noWrap/>
                  <w:vAlign w:val="center"/>
                </w:tcPr>
                <w:p w14:paraId="282A0DEE">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693" w:type="pct"/>
                  <w:tcBorders>
                    <w:top w:val="single" w:color="000000" w:sz="4" w:space="0"/>
                    <w:left w:val="single" w:color="000000" w:sz="4" w:space="0"/>
                    <w:bottom w:val="single" w:color="000000" w:sz="4" w:space="0"/>
                    <w:right w:val="single" w:color="000000" w:sz="4" w:space="0"/>
                  </w:tcBorders>
                  <w:noWrap/>
                  <w:vAlign w:val="center"/>
                </w:tcPr>
                <w:p w14:paraId="5D784AF5">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4类声环境功能区</w:t>
                  </w:r>
                </w:p>
              </w:tc>
              <w:tc>
                <w:tcPr>
                  <w:tcW w:w="767" w:type="pct"/>
                  <w:tcBorders>
                    <w:top w:val="single" w:color="000000" w:sz="4" w:space="0"/>
                    <w:left w:val="single" w:color="000000" w:sz="4" w:space="0"/>
                    <w:bottom w:val="single" w:color="000000" w:sz="4" w:space="0"/>
                    <w:right w:val="single" w:color="000000" w:sz="4" w:space="0"/>
                  </w:tcBorders>
                  <w:noWrap/>
                  <w:vAlign w:val="center"/>
                </w:tcPr>
                <w:p w14:paraId="2BA57A42">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70</w:t>
                  </w:r>
                </w:p>
              </w:tc>
              <w:tc>
                <w:tcPr>
                  <w:tcW w:w="1413" w:type="pct"/>
                  <w:tcBorders>
                    <w:top w:val="single" w:color="000000" w:sz="4" w:space="0"/>
                    <w:left w:val="single" w:color="000000" w:sz="4" w:space="0"/>
                    <w:bottom w:val="single" w:color="000000" w:sz="4" w:space="0"/>
                    <w:right w:val="single" w:color="000000" w:sz="4" w:space="0"/>
                  </w:tcBorders>
                  <w:noWrap/>
                  <w:vAlign w:val="center"/>
                </w:tcPr>
                <w:p w14:paraId="29B493E0">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55</w:t>
                  </w:r>
                </w:p>
              </w:tc>
            </w:tr>
          </w:tbl>
          <w:p w14:paraId="66F79028">
            <w:pPr>
              <w:numPr>
                <w:ilvl w:val="0"/>
                <w:numId w:val="0"/>
              </w:numPr>
              <w:shd w:val="clear"/>
              <w:spacing w:line="360" w:lineRule="auto"/>
              <w:ind w:firstLine="482" w:firstLineChars="200"/>
              <w:jc w:val="both"/>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四、</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固体废物</w:t>
            </w:r>
          </w:p>
          <w:p w14:paraId="456F0927">
            <w:pPr>
              <w:numPr>
                <w:ilvl w:val="0"/>
                <w:numId w:val="0"/>
              </w:numPr>
              <w:shd w:val="clear"/>
              <w:spacing w:line="360" w:lineRule="auto"/>
              <w:ind w:firstLine="420" w:firstLineChars="200"/>
              <w:jc w:val="both"/>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eastAsia"/>
                <w:color w:val="000000" w:themeColor="text1"/>
                <w:sz w:val="21"/>
                <w:szCs w:val="21"/>
                <w14:textFill>
                  <w14:solidFill>
                    <w14:schemeClr w14:val="tx1"/>
                  </w14:solidFill>
                </w14:textFill>
              </w:rPr>
              <w:t>一般固体废物在厂内贮存须符合</w:t>
            </w:r>
            <w:r>
              <w:rPr>
                <w:rFonts w:hint="eastAsia"/>
                <w:color w:val="000000" w:themeColor="text1"/>
                <w:sz w:val="21"/>
                <w:szCs w:val="21"/>
                <w:lang w:val="en-US" w:eastAsia="zh-CN"/>
                <w14:textFill>
                  <w14:solidFill>
                    <w14:schemeClr w14:val="tx1"/>
                  </w14:solidFill>
                </w14:textFill>
              </w:rPr>
              <w:t>《中华人民共和国固体废物污染环境防治法》（2020年修订）、《广东省固体废物污染环境防治条例》粤常发〔2004〕8号相关要求</w:t>
            </w:r>
            <w:r>
              <w:rPr>
                <w:rFonts w:hint="eastAsia"/>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snapToGrid w:val="0"/>
                <w:color w:val="000000" w:themeColor="text1"/>
                <w:kern w:val="2"/>
                <w:sz w:val="21"/>
                <w:szCs w:val="21"/>
                <w:highlight w:val="none"/>
                <w:lang w:val="en-US" w:eastAsia="zh-CN" w:bidi="ar-SA"/>
                <w14:textFill>
                  <w14:solidFill>
                    <w14:schemeClr w14:val="tx1"/>
                  </w14:solidFill>
                </w14:textFill>
              </w:rPr>
              <w:t>危险废物在厂内贮存须符合《危险废物贮存污染控制标准》（GB18597-2023）相关要求。</w:t>
            </w:r>
          </w:p>
        </w:tc>
      </w:tr>
      <w:tr w14:paraId="0EDA1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401" w:type="dxa"/>
            <w:noWrap w:val="0"/>
            <w:vAlign w:val="center"/>
          </w:tcPr>
          <w:p w14:paraId="7276F0F6">
            <w:pPr>
              <w:shd w:val="clear"/>
              <w:adjustRightInd w:val="0"/>
              <w:snapToGrid w:val="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总量控制指标</w:t>
            </w:r>
          </w:p>
        </w:tc>
        <w:tc>
          <w:tcPr>
            <w:tcW w:w="8660" w:type="dxa"/>
            <w:noWrap w:val="0"/>
            <w:vAlign w:val="center"/>
          </w:tcPr>
          <w:p w14:paraId="6A4E1E13">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420" w:firstLineChars="200"/>
              <w:jc w:val="both"/>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废水：</w:t>
            </w:r>
            <w:r>
              <w:rPr>
                <w:color w:val="000000" w:themeColor="text1"/>
                <w14:textFill>
                  <w14:solidFill>
                    <w14:schemeClr w14:val="tx1"/>
                  </w14:solidFill>
                </w14:textFill>
              </w:rPr>
              <w:t>项目生活污水经</w:t>
            </w:r>
            <w:r>
              <w:rPr>
                <w:rFonts w:hint="eastAsia"/>
                <w:color w:val="000000" w:themeColor="text1"/>
                <w14:textFill>
                  <w14:solidFill>
                    <w14:schemeClr w14:val="tx1"/>
                  </w14:solidFill>
                </w14:textFill>
              </w:rPr>
              <w:t>化粪池预处理后经</w:t>
            </w:r>
            <w:r>
              <w:rPr>
                <w:color w:val="000000" w:themeColor="text1"/>
                <w14:textFill>
                  <w14:solidFill>
                    <w14:schemeClr w14:val="tx1"/>
                  </w14:solidFill>
                </w14:textFill>
              </w:rPr>
              <w:t>市政污水管网排入</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中山市南朗镇水务有限公司</w:t>
            </w:r>
            <w:r>
              <w:rPr>
                <w:rFonts w:hint="eastAsia"/>
                <w:bCs/>
                <w:color w:val="000000" w:themeColor="text1"/>
                <w:sz w:val="21"/>
                <w:szCs w:val="21"/>
                <w:lang w:val="en-US" w:eastAsia="zh-CN"/>
                <w14:textFill>
                  <w14:solidFill>
                    <w14:schemeClr w14:val="tx1"/>
                  </w14:solidFill>
                </w14:textFill>
              </w:rPr>
              <w:t>，</w:t>
            </w:r>
            <w:r>
              <w:rPr>
                <w:color w:val="000000" w:themeColor="text1"/>
                <w14:textFill>
                  <w14:solidFill>
                    <w14:schemeClr w14:val="tx1"/>
                  </w14:solidFill>
                </w14:textFill>
              </w:rPr>
              <w:t>故不需设置废水污染物总量控制指标</w:t>
            </w:r>
            <w:r>
              <w:rPr>
                <w:rFonts w:hint="eastAsia"/>
                <w:color w:val="000000" w:themeColor="text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生产废水</w:t>
            </w:r>
            <w:r>
              <w:rPr>
                <w:rFonts w:hint="eastAsia"/>
                <w:color w:val="000000" w:themeColor="text1"/>
                <w:szCs w:val="21"/>
                <w:lang w:val="en-US" w:eastAsia="zh-CN"/>
                <w14:textFill>
                  <w14:solidFill>
                    <w14:schemeClr w14:val="tx1"/>
                  </w14:solidFill>
                </w14:textFill>
              </w:rPr>
              <w:t>委托给有废水处理能力的单位处理</w:t>
            </w:r>
            <w:r>
              <w:rPr>
                <w:rFonts w:hint="eastAsia"/>
                <w:bCs/>
                <w:color w:val="000000" w:themeColor="text1"/>
                <w:sz w:val="21"/>
                <w:szCs w:val="21"/>
                <w:lang w:val="en-US" w:eastAsia="zh-CN"/>
                <w14:textFill>
                  <w14:solidFill>
                    <w14:schemeClr w14:val="tx1"/>
                  </w14:solidFill>
                </w14:textFill>
              </w:rPr>
              <w:t>，</w:t>
            </w:r>
            <w:r>
              <w:rPr>
                <w:color w:val="000000" w:themeColor="text1"/>
                <w14:textFill>
                  <w14:solidFill>
                    <w14:schemeClr w14:val="tx1"/>
                  </w14:solidFill>
                </w14:textFill>
              </w:rPr>
              <w:t>故不需设置废水污染物总量控制指标</w:t>
            </w:r>
            <w:r>
              <w:rPr>
                <w:rFonts w:hint="eastAsia"/>
                <w:color w:val="000000" w:themeColor="text1"/>
                <w:lang w:eastAsia="zh-CN"/>
                <w14:textFill>
                  <w14:solidFill>
                    <w14:schemeClr w14:val="tx1"/>
                  </w14:solidFill>
                </w14:textFill>
              </w:rPr>
              <w:t>。</w:t>
            </w:r>
          </w:p>
          <w:p w14:paraId="719ECAD2">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420"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废气：</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挥发性有机物（非甲烷总烃</w:t>
            </w: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TVOC）</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年排放</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w:t>
            </w:r>
            <w:r>
              <w:rPr>
                <w:rFonts w:hint="eastAsia" w:cs="Times New Roman"/>
                <w:b w:val="0"/>
                <w:bCs w:val="0"/>
                <w:color w:val="000000" w:themeColor="text1"/>
                <w:sz w:val="21"/>
                <w:szCs w:val="21"/>
                <w:highlight w:val="none"/>
                <w:lang w:val="en-US" w:eastAsia="zh-CN"/>
                <w14:textFill>
                  <w14:solidFill>
                    <w14:schemeClr w14:val="tx1"/>
                  </w14:solidFill>
                </w14:textFill>
              </w:rPr>
              <w:t>1556</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/a</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氮氧化物排放量为</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w:t>
            </w:r>
            <w:r>
              <w:rPr>
                <w:rFonts w:hint="eastAsia" w:cs="Times New Roman"/>
                <w:b w:val="0"/>
                <w:bCs w:val="0"/>
                <w:color w:val="000000" w:themeColor="text1"/>
                <w:sz w:val="21"/>
                <w:szCs w:val="21"/>
                <w:highlight w:val="none"/>
                <w:lang w:val="en-US" w:eastAsia="zh-CN"/>
                <w14:textFill>
                  <w14:solidFill>
                    <w14:schemeClr w14:val="tx1"/>
                  </w14:solidFill>
                </w14:textFill>
              </w:rPr>
              <w:t>72</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/a</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r>
    </w:tbl>
    <w:p w14:paraId="51BE1B5E">
      <w:pPr>
        <w:pStyle w:val="3"/>
        <w:shd w:val="clear"/>
        <w:bidi w:val="0"/>
        <w:jc w:val="center"/>
        <w:rPr>
          <w:rFonts w:hint="default" w:ascii="Times New Roman" w:hAnsi="Times New Roman" w:eastAsia="宋体" w:cs="Times New Roman"/>
          <w:color w:val="000000" w:themeColor="text1"/>
          <w:sz w:val="32"/>
          <w:szCs w:val="32"/>
          <w:highlight w:val="none"/>
          <w14:textFill>
            <w14:solidFill>
              <w14:schemeClr w14:val="tx1"/>
            </w14:solidFill>
          </w14:textFill>
        </w:rPr>
      </w:pPr>
      <w:r>
        <w:rPr>
          <w:rFonts w:hint="default" w:ascii="Times New Roman" w:hAnsi="Times New Roman" w:eastAsia="宋体" w:cs="Times New Roman"/>
          <w:snapToGrid w:val="0"/>
          <w:color w:val="000000" w:themeColor="text1"/>
          <w:szCs w:val="36"/>
          <w:highlight w:val="none"/>
          <w14:textFill>
            <w14:solidFill>
              <w14:schemeClr w14:val="tx1"/>
            </w14:solidFill>
          </w14:textFill>
        </w:rPr>
        <w:br w:type="page"/>
      </w:r>
      <w:bookmarkStart w:id="8" w:name="_Toc17334"/>
      <w:r>
        <w:rPr>
          <w:rFonts w:hint="default" w:ascii="Times New Roman" w:hAnsi="Times New Roman" w:eastAsia="宋体" w:cs="Times New Roman"/>
          <w:color w:val="000000" w:themeColor="text1"/>
          <w:sz w:val="32"/>
          <w:szCs w:val="32"/>
          <w:highlight w:val="none"/>
          <w14:textFill>
            <w14:solidFill>
              <w14:schemeClr w14:val="tx1"/>
            </w14:solidFill>
          </w14:textFill>
        </w:rPr>
        <w:t>四、主要环境影响和保护措施</w:t>
      </w:r>
      <w:bookmarkEnd w:id="8"/>
    </w:p>
    <w:tbl>
      <w:tblPr>
        <w:tblStyle w:val="33"/>
        <w:tblW w:w="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6"/>
        <w:gridCol w:w="8715"/>
      </w:tblGrid>
      <w:tr w14:paraId="5F762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6" w:type="dxa"/>
            <w:noWrap w:val="0"/>
            <w:tcMar>
              <w:left w:w="28" w:type="dxa"/>
              <w:right w:w="28" w:type="dxa"/>
            </w:tcMar>
            <w:vAlign w:val="center"/>
          </w:tcPr>
          <w:p w14:paraId="54BD626A">
            <w:pPr>
              <w:pStyle w:val="30"/>
              <w:shd w:val="clear"/>
              <w:adjustRightInd w:val="0"/>
              <w:snapToGrid w:val="0"/>
              <w:spacing w:before="0" w:beforeAutospacing="0" w:after="0" w:afterAutospacing="0"/>
              <w:jc w:val="cente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施工期环境保护措施</w:t>
            </w:r>
          </w:p>
        </w:tc>
        <w:tc>
          <w:tcPr>
            <w:tcW w:w="8645" w:type="dxa"/>
            <w:noWrap w:val="0"/>
            <w:vAlign w:val="center"/>
          </w:tcPr>
          <w:p w14:paraId="2E3A2E78">
            <w:pPr>
              <w:shd w:val="clear"/>
              <w:adjustRightInd w:val="0"/>
              <w:snapToGrid w:val="0"/>
              <w:jc w:val="center"/>
              <w:rPr>
                <w:rFonts w:hint="default" w:ascii="Times New Roman" w:hAnsi="Times New Roman" w:eastAsia="宋体" w:cs="Times New Roman"/>
                <w:bCs/>
                <w:color w:val="000000" w:themeColor="text1"/>
                <w:spacing w:val="-10"/>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项目使用已建成的厂房，</w:t>
            </w: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施工期已过，</w:t>
            </w:r>
            <w:r>
              <w:rPr>
                <w:rFonts w:hint="default" w:ascii="Times New Roman" w:hAnsi="Times New Roman" w:eastAsia="宋体" w:cs="Times New Roman"/>
                <w:color w:val="000000" w:themeColor="text1"/>
                <w:sz w:val="21"/>
                <w:szCs w:val="21"/>
                <w:highlight w:val="none"/>
                <w14:textFill>
                  <w14:solidFill>
                    <w14:schemeClr w14:val="tx1"/>
                  </w14:solidFill>
                </w14:textFill>
              </w:rPr>
              <w:t>不存在施工期的环境影响</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1460D7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6" w:type="dxa"/>
            <w:noWrap w:val="0"/>
            <w:tcMar>
              <w:left w:w="28" w:type="dxa"/>
              <w:right w:w="28" w:type="dxa"/>
            </w:tcMar>
            <w:vAlign w:val="center"/>
          </w:tcPr>
          <w:p w14:paraId="7760DD21">
            <w:pPr>
              <w:shd w:val="clear"/>
              <w:adjustRightInd w:val="0"/>
              <w:snapToGrid w:val="0"/>
              <w:jc w:val="center"/>
              <w:rPr>
                <w:rFonts w:hint="default" w:ascii="Times New Roman" w:hAnsi="Times New Roman" w:eastAsia="宋体" w:cs="Times New Roman"/>
                <w:bCs/>
                <w:color w:val="000000" w:themeColor="text1"/>
                <w:szCs w:val="21"/>
                <w:highlight w:val="none"/>
                <w14:textFill>
                  <w14:solidFill>
                    <w14:schemeClr w14:val="tx1"/>
                  </w14:solidFill>
                </w14:textFill>
              </w:rPr>
            </w:pPr>
            <w:r>
              <w:rPr>
                <w:rFonts w:hint="default" w:ascii="Times New Roman" w:hAnsi="Times New Roman" w:eastAsia="宋体" w:cs="Times New Roman"/>
                <w:bCs/>
                <w:color w:val="000000" w:themeColor="text1"/>
                <w:szCs w:val="21"/>
                <w:highlight w:val="none"/>
                <w14:textFill>
                  <w14:solidFill>
                    <w14:schemeClr w14:val="tx1"/>
                  </w14:solidFill>
                </w14:textFill>
              </w:rPr>
              <w:t>运营期环境影响和保护措施</w:t>
            </w:r>
          </w:p>
        </w:tc>
        <w:tc>
          <w:tcPr>
            <w:tcW w:w="8645" w:type="dxa"/>
            <w:noWrap w:val="0"/>
            <w:vAlign w:val="center"/>
          </w:tcPr>
          <w:p w14:paraId="087C9EB5">
            <w:pPr>
              <w:keepNext w:val="0"/>
              <w:keepLines w:val="0"/>
              <w:pageBreakBefore w:val="0"/>
              <w:widowControl w:val="0"/>
              <w:shd w:val="clear"/>
              <w:kinsoku/>
              <w:wordWrap/>
              <w:overflowPunct/>
              <w:topLinePunct w:val="0"/>
              <w:autoSpaceDE/>
              <w:autoSpaceDN/>
              <w:bidi w:val="0"/>
              <w:adjustRightInd w:val="0"/>
              <w:snapToGrid w:val="0"/>
              <w:spacing w:line="360" w:lineRule="auto"/>
              <w:ind w:firstLine="442" w:firstLineChars="200"/>
              <w:jc w:val="both"/>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（1）废气产排情况分析</w:t>
            </w:r>
          </w:p>
          <w:p w14:paraId="2E30C05C">
            <w:pPr>
              <w:pStyle w:val="75"/>
              <w:keepNext w:val="0"/>
              <w:keepLines/>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ascii="Times New Roman" w:hAnsi="Times New Roman" w:eastAsia="宋体"/>
                <w:color w:val="000000" w:themeColor="text1"/>
                <w:spacing w:val="0"/>
                <w:sz w:val="21"/>
                <w:szCs w:val="22"/>
                <w:highlight w:val="none"/>
                <w14:textFill>
                  <w14:solidFill>
                    <w14:schemeClr w14:val="tx1"/>
                  </w14:solidFill>
                </w14:textFill>
              </w:rPr>
            </w:pP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（1）</w:t>
            </w:r>
            <w:r>
              <w:rPr>
                <w:rFonts w:ascii="Times New Roman" w:hAnsi="Times New Roman" w:eastAsia="宋体"/>
                <w:color w:val="000000" w:themeColor="text1"/>
                <w:spacing w:val="0"/>
                <w:sz w:val="21"/>
                <w:szCs w:val="22"/>
                <w:highlight w:val="none"/>
                <w14:textFill>
                  <w14:solidFill>
                    <w14:schemeClr w14:val="tx1"/>
                  </w14:solidFill>
                </w14:textFill>
              </w:rPr>
              <w:t>熔融、压铸工序</w:t>
            </w:r>
          </w:p>
          <w:p w14:paraId="69400C82">
            <w:pPr>
              <w:pStyle w:val="75"/>
              <w:keepNext w:val="0"/>
              <w:keepLines/>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hint="eastAsia" w:ascii="Times New Roman" w:hAnsi="Times New Roman" w:eastAsia="宋体"/>
                <w:color w:val="000000" w:themeColor="text1"/>
                <w:spacing w:val="0"/>
                <w:sz w:val="21"/>
                <w:szCs w:val="22"/>
                <w:highlight w:val="none"/>
                <w:lang w:eastAsia="zh-CN"/>
                <w14:textFill>
                  <w14:solidFill>
                    <w14:schemeClr w14:val="tx1"/>
                  </w14:solidFill>
                </w14:textFill>
              </w:rPr>
            </w:pPr>
            <w:r>
              <w:rPr>
                <w:rFonts w:ascii="Times New Roman" w:hAnsi="Times New Roman" w:eastAsia="宋体"/>
                <w:color w:val="000000" w:themeColor="text1"/>
                <w:spacing w:val="0"/>
                <w:sz w:val="21"/>
                <w:szCs w:val="22"/>
                <w:highlight w:val="none"/>
                <w:shd w:val="clear"/>
                <w14:textFill>
                  <w14:solidFill>
                    <w14:schemeClr w14:val="tx1"/>
                  </w14:solidFill>
                </w14:textFill>
              </w:rPr>
              <w:t>①熔</w:t>
            </w:r>
            <w:r>
              <w:rPr>
                <w:rFonts w:ascii="Times New Roman" w:hAnsi="Times New Roman" w:eastAsia="宋体"/>
                <w:color w:val="000000" w:themeColor="text1"/>
                <w:spacing w:val="0"/>
                <w:sz w:val="21"/>
                <w:szCs w:val="22"/>
                <w:highlight w:val="none"/>
                <w14:textFill>
                  <w14:solidFill>
                    <w14:schemeClr w14:val="tx1"/>
                  </w14:solidFill>
                </w14:textFill>
              </w:rPr>
              <w:t>融、压铸</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废气</w:t>
            </w:r>
          </w:p>
          <w:p w14:paraId="1D10D9E4">
            <w:pPr>
              <w:pStyle w:val="75"/>
              <w:keepLines/>
              <w:pageBreakBefore w:val="0"/>
              <w:widowControl/>
              <w:bidi w:val="0"/>
              <w:spacing w:before="21" w:line="360" w:lineRule="auto"/>
              <w:ind w:left="111" w:right="8" w:firstLine="389"/>
              <w:jc w:val="both"/>
              <w:rPr>
                <w:rFonts w:hint="default" w:ascii="Times New Roman" w:hAnsi="Times New Roman" w:eastAsia="宋体"/>
                <w:color w:val="000000" w:themeColor="text1"/>
                <w:spacing w:val="0"/>
                <w:sz w:val="21"/>
                <w:szCs w:val="22"/>
                <w:highlight w:val="none"/>
                <w:lang w:val="en-US" w:eastAsia="zh-CN"/>
                <w14:textFill>
                  <w14:solidFill>
                    <w14:schemeClr w14:val="tx1"/>
                  </w14:solidFill>
                </w14:textFill>
              </w:rPr>
            </w:pPr>
            <w:r>
              <w:rPr>
                <w:rFonts w:ascii="Times New Roman" w:hAnsi="Times New Roman" w:eastAsia="宋体"/>
                <w:color w:val="000000" w:themeColor="text1"/>
                <w:spacing w:val="0"/>
                <w:sz w:val="21"/>
                <w:szCs w:val="22"/>
                <w:highlight w:val="none"/>
                <w14:textFill>
                  <w14:solidFill>
                    <w14:schemeClr w14:val="tx1"/>
                  </w14:solidFill>
                </w14:textFill>
              </w:rPr>
              <w:t>项目在熔融</w:t>
            </w:r>
            <w:r>
              <w:rPr>
                <w:rFonts w:hint="eastAsia" w:ascii="Times New Roman" w:hAnsi="Times New Roman" w:eastAsia="宋体"/>
                <w:color w:val="000000" w:themeColor="text1"/>
                <w:spacing w:val="0"/>
                <w:sz w:val="21"/>
                <w:szCs w:val="22"/>
                <w:highlight w:val="none"/>
                <w:lang w:eastAsia="zh-CN"/>
                <w14:textFill>
                  <w14:solidFill>
                    <w14:schemeClr w14:val="tx1"/>
                  </w14:solidFill>
                </w14:textFill>
              </w:rPr>
              <w:t>、</w:t>
            </w:r>
            <w:r>
              <w:rPr>
                <w:rFonts w:ascii="Times New Roman" w:hAnsi="Times New Roman" w:eastAsia="宋体"/>
                <w:color w:val="000000" w:themeColor="text1"/>
                <w:spacing w:val="0"/>
                <w:sz w:val="21"/>
                <w:szCs w:val="22"/>
                <w:highlight w:val="none"/>
                <w14:textFill>
                  <w14:solidFill>
                    <w14:schemeClr w14:val="tx1"/>
                  </w14:solidFill>
                </w14:textFill>
              </w:rPr>
              <w:t>压铸工序会产生</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废气</w:t>
            </w:r>
            <w:r>
              <w:rPr>
                <w:rFonts w:ascii="Times New Roman" w:hAnsi="Times New Roman" w:eastAsia="宋体"/>
                <w:color w:val="000000" w:themeColor="text1"/>
                <w:spacing w:val="0"/>
                <w:sz w:val="21"/>
                <w:szCs w:val="22"/>
                <w:highlight w:val="none"/>
                <w14:textFill>
                  <w14:solidFill>
                    <w14:schemeClr w14:val="tx1"/>
                  </w14:solidFill>
                </w14:textFill>
              </w:rPr>
              <w:t>，其主要污染物以颗粒物表征。</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项目产品</w:t>
            </w:r>
            <w:r>
              <w:rPr>
                <w:rFonts w:hint="eastAsia" w:ascii="Times New Roman" w:hAnsi="Times New Roman" w:eastAsia="宋体"/>
                <w:color w:val="000000" w:themeColor="text1"/>
                <w:spacing w:val="0"/>
                <w:sz w:val="21"/>
                <w:szCs w:val="22"/>
                <w:highlight w:val="none"/>
                <w14:textFill>
                  <w14:solidFill>
                    <w14:schemeClr w14:val="tx1"/>
                  </w14:solidFill>
                </w14:textFill>
              </w:rPr>
              <w:t>年产量</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为</w:t>
            </w:r>
            <w:r>
              <w:rPr>
                <w:rFonts w:hint="eastAsia" w:ascii="Times New Roman" w:hAnsi="Times New Roman"/>
                <w:color w:val="000000" w:themeColor="text1"/>
                <w:spacing w:val="0"/>
                <w:sz w:val="21"/>
                <w:szCs w:val="22"/>
                <w:highlight w:val="none"/>
                <w:lang w:val="en-US" w:eastAsia="zh-CN"/>
                <w14:textFill>
                  <w14:solidFill>
                    <w14:schemeClr w14:val="tx1"/>
                  </w14:solidFill>
                </w14:textFill>
              </w:rPr>
              <w:t>260</w:t>
            </w:r>
            <w:r>
              <w:rPr>
                <w:rFonts w:hint="eastAsia" w:ascii="Times New Roman" w:hAnsi="Times New Roman" w:eastAsia="宋体"/>
                <w:color w:val="000000" w:themeColor="text1"/>
                <w:spacing w:val="0"/>
                <w:sz w:val="21"/>
                <w:szCs w:val="22"/>
                <w:highlight w:val="none"/>
                <w14:textFill>
                  <w14:solidFill>
                    <w14:schemeClr w14:val="tx1"/>
                  </w14:solidFill>
                </w14:textFill>
              </w:rPr>
              <w:t>吨</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w:t>
            </w:r>
            <w:r>
              <w:rPr>
                <w:rFonts w:hint="eastAsia" w:ascii="Times New Roman" w:hAnsi="Times New Roman" w:eastAsia="宋体"/>
                <w:color w:val="000000" w:themeColor="text1"/>
                <w:spacing w:val="0"/>
                <w:sz w:val="21"/>
                <w:szCs w:val="22"/>
                <w:highlight w:val="none"/>
                <w14:textFill>
                  <w14:solidFill>
                    <w14:schemeClr w14:val="tx1"/>
                  </w14:solidFill>
                </w14:textFill>
              </w:rPr>
              <w:t>根据《</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排放源统计调查产排污核算方法和系数手册</w:t>
            </w:r>
            <w:r>
              <w:rPr>
                <w:rFonts w:hint="eastAsia" w:ascii="Times New Roman" w:hAnsi="Times New Roman" w:eastAsia="宋体"/>
                <w:color w:val="000000" w:themeColor="text1"/>
                <w:spacing w:val="0"/>
                <w:sz w:val="21"/>
                <w:szCs w:val="22"/>
                <w:highlight w:val="none"/>
                <w14:textFill>
                  <w14:solidFill>
                    <w14:schemeClr w14:val="tx1"/>
                  </w14:solidFill>
                </w14:textFill>
              </w:rPr>
              <w:t>》中33金属制品业-01铸造</w:t>
            </w:r>
            <w:r>
              <w:rPr>
                <w:rFonts w:hint="eastAsia" w:ascii="Times New Roman" w:hAnsi="Times New Roman"/>
                <w:color w:val="000000" w:themeColor="text1"/>
                <w:spacing w:val="0"/>
                <w:sz w:val="21"/>
                <w:szCs w:val="22"/>
                <w:highlight w:val="none"/>
                <w:lang w:val="en-US" w:eastAsia="zh-CN"/>
                <w14:textFill>
                  <w14:solidFill>
                    <w14:schemeClr w14:val="tx1"/>
                  </w14:solidFill>
                </w14:textFill>
              </w:rPr>
              <w:t>-熔炼（燃气炉）</w:t>
            </w:r>
            <w:r>
              <w:rPr>
                <w:rFonts w:hint="eastAsia" w:ascii="Times New Roman" w:hAnsi="Times New Roman" w:eastAsia="宋体"/>
                <w:color w:val="000000" w:themeColor="text1"/>
                <w:spacing w:val="0"/>
                <w:sz w:val="21"/>
                <w:szCs w:val="22"/>
                <w:highlight w:val="none"/>
                <w14:textFill>
                  <w14:solidFill>
                    <w14:schemeClr w14:val="tx1"/>
                  </w14:solidFill>
                </w14:textFill>
              </w:rPr>
              <w:t>核算环节</w:t>
            </w:r>
            <w:r>
              <w:rPr>
                <w:rFonts w:hint="eastAsia" w:ascii="Times New Roman" w:hAnsi="Times New Roman" w:eastAsia="宋体"/>
                <w:color w:val="000000" w:themeColor="text1"/>
                <w:spacing w:val="0"/>
                <w:sz w:val="21"/>
                <w:szCs w:val="22"/>
                <w:highlight w:val="none"/>
                <w:lang w:eastAsia="zh-CN"/>
                <w14:textFill>
                  <w14:solidFill>
                    <w14:schemeClr w14:val="tx1"/>
                  </w14:solidFill>
                </w14:textFill>
              </w:rPr>
              <w:t>：</w:t>
            </w:r>
            <w:r>
              <w:rPr>
                <w:rFonts w:hint="eastAsia" w:ascii="Times New Roman" w:hAnsi="Times New Roman" w:eastAsia="宋体"/>
                <w:color w:val="000000" w:themeColor="text1"/>
                <w:spacing w:val="0"/>
                <w:sz w:val="21"/>
                <w:szCs w:val="22"/>
                <w:highlight w:val="none"/>
                <w14:textFill>
                  <w14:solidFill>
                    <w14:schemeClr w14:val="tx1"/>
                  </w14:solidFill>
                </w14:textFill>
              </w:rPr>
              <w:t>颗粒物产污系数取0.943千克/吨</w:t>
            </w:r>
            <w:r>
              <w:rPr>
                <w:rFonts w:hint="eastAsia" w:ascii="Times New Roman" w:hAnsi="Times New Roman" w:eastAsia="宋体"/>
                <w:color w:val="000000" w:themeColor="text1"/>
                <w:spacing w:val="0"/>
                <w:sz w:val="21"/>
                <w:szCs w:val="22"/>
                <w:highlight w:val="none"/>
                <w:lang w:eastAsia="zh-CN"/>
                <w14:textFill>
                  <w14:solidFill>
                    <w14:schemeClr w14:val="tx1"/>
                  </w14:solidFill>
                </w14:textFill>
              </w:rPr>
              <w:t>－</w:t>
            </w:r>
            <w:r>
              <w:rPr>
                <w:rFonts w:hint="eastAsia" w:ascii="Times New Roman" w:hAnsi="Times New Roman" w:eastAsia="宋体"/>
                <w:color w:val="000000" w:themeColor="text1"/>
                <w:spacing w:val="0"/>
                <w:sz w:val="21"/>
                <w:szCs w:val="22"/>
                <w:highlight w:val="none"/>
                <w14:textFill>
                  <w14:solidFill>
                    <w14:schemeClr w14:val="tx1"/>
                  </w14:solidFill>
                </w14:textFill>
              </w:rPr>
              <w:t>产品，则熔融工序颗粒物产生量为</w:t>
            </w:r>
            <w:r>
              <w:rPr>
                <w:rFonts w:hint="eastAsia" w:ascii="Times New Roman" w:hAnsi="Times New Roman"/>
                <w:color w:val="000000" w:themeColor="text1"/>
                <w:spacing w:val="0"/>
                <w:sz w:val="21"/>
                <w:szCs w:val="22"/>
                <w:highlight w:val="none"/>
                <w:lang w:val="en-US" w:eastAsia="zh-CN"/>
                <w14:textFill>
                  <w14:solidFill>
                    <w14:schemeClr w14:val="tx1"/>
                  </w14:solidFill>
                </w14:textFill>
              </w:rPr>
              <w:t>260</w:t>
            </w:r>
            <w:r>
              <w:rPr>
                <w:rFonts w:hint="eastAsia" w:ascii="Times New Roman" w:hAnsi="Times New Roman" w:eastAsia="宋体"/>
                <w:color w:val="000000" w:themeColor="text1"/>
                <w:spacing w:val="0"/>
                <w:sz w:val="21"/>
                <w:szCs w:val="22"/>
                <w:highlight w:val="none"/>
                <w14:textFill>
                  <w14:solidFill>
                    <w14:schemeClr w14:val="tx1"/>
                  </w14:solidFill>
                </w14:textFill>
              </w:rPr>
              <w:t>吨×0.943千克/吨-产品</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w:t>
            </w:r>
            <w:r>
              <w:rPr>
                <w:rFonts w:hint="eastAsia" w:ascii="Times New Roman" w:hAnsi="Times New Roman"/>
                <w:color w:val="000000" w:themeColor="text1"/>
                <w:spacing w:val="0"/>
                <w:sz w:val="21"/>
                <w:szCs w:val="22"/>
                <w:highlight w:val="none"/>
                <w:lang w:val="en-US" w:eastAsia="zh-CN"/>
                <w14:textFill>
                  <w14:solidFill>
                    <w14:schemeClr w14:val="tx1"/>
                  </w14:solidFill>
                </w14:textFill>
              </w:rPr>
              <w:t>0.245</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t/a</w:t>
            </w:r>
            <w:r>
              <w:rPr>
                <w:rFonts w:hint="eastAsia" w:ascii="Times New Roman" w:hAnsi="Times New Roman"/>
                <w:color w:val="000000" w:themeColor="text1"/>
                <w:spacing w:val="0"/>
                <w:sz w:val="21"/>
                <w:szCs w:val="22"/>
                <w:highlight w:val="none"/>
                <w:lang w:val="en-US" w:eastAsia="zh-CN"/>
                <w14:textFill>
                  <w14:solidFill>
                    <w14:schemeClr w14:val="tx1"/>
                  </w14:solidFill>
                </w14:textFill>
              </w:rPr>
              <w:t>；根据</w:t>
            </w:r>
            <w:r>
              <w:rPr>
                <w:rFonts w:hint="eastAsia" w:ascii="Times New Roman" w:hAnsi="Times New Roman" w:eastAsia="宋体"/>
                <w:color w:val="000000" w:themeColor="text1"/>
                <w:spacing w:val="0"/>
                <w:sz w:val="21"/>
                <w:szCs w:val="22"/>
                <w:highlight w:val="none"/>
                <w14:textFill>
                  <w14:solidFill>
                    <w14:schemeClr w14:val="tx1"/>
                  </w14:solidFill>
                </w14:textFill>
              </w:rPr>
              <w:t>《</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排放源统计调查产排污核算方法和系数手册</w:t>
            </w:r>
            <w:r>
              <w:rPr>
                <w:rFonts w:hint="eastAsia" w:ascii="Times New Roman" w:hAnsi="Times New Roman" w:eastAsia="宋体"/>
                <w:color w:val="000000" w:themeColor="text1"/>
                <w:spacing w:val="0"/>
                <w:sz w:val="21"/>
                <w:szCs w:val="22"/>
                <w:highlight w:val="none"/>
                <w14:textFill>
                  <w14:solidFill>
                    <w14:schemeClr w14:val="tx1"/>
                  </w14:solidFill>
                </w14:textFill>
              </w:rPr>
              <w:t>》中33金属制品业-01铸造</w:t>
            </w:r>
            <w:r>
              <w:rPr>
                <w:rFonts w:hint="eastAsia" w:ascii="Times New Roman" w:hAnsi="Times New Roman"/>
                <w:color w:val="000000" w:themeColor="text1"/>
                <w:spacing w:val="0"/>
                <w:sz w:val="21"/>
                <w:szCs w:val="22"/>
                <w:highlight w:val="none"/>
                <w:lang w:val="en-US" w:eastAsia="zh-CN"/>
                <w14:textFill>
                  <w14:solidFill>
                    <w14:schemeClr w14:val="tx1"/>
                  </w14:solidFill>
                </w14:textFill>
              </w:rPr>
              <w:t>-金属液等、脱模剂-造型</w:t>
            </w:r>
            <w:r>
              <w:rPr>
                <w:rFonts w:hint="eastAsia" w:ascii="Times New Roman" w:hAnsi="Times New Roman" w:eastAsia="宋体"/>
                <w:color w:val="000000" w:themeColor="text1"/>
                <w:spacing w:val="0"/>
                <w:sz w:val="21"/>
                <w:szCs w:val="22"/>
                <w:highlight w:val="none"/>
                <w14:textFill>
                  <w14:solidFill>
                    <w14:schemeClr w14:val="tx1"/>
                  </w14:solidFill>
                </w14:textFill>
              </w:rPr>
              <w:t>核算环节</w:t>
            </w:r>
            <w:r>
              <w:rPr>
                <w:rFonts w:hint="eastAsia" w:ascii="Times New Roman" w:hAnsi="Times New Roman" w:eastAsia="宋体"/>
                <w:color w:val="000000" w:themeColor="text1"/>
                <w:spacing w:val="0"/>
                <w:sz w:val="21"/>
                <w:szCs w:val="22"/>
                <w:highlight w:val="none"/>
                <w:lang w:eastAsia="zh-CN"/>
                <w14:textFill>
                  <w14:solidFill>
                    <w14:schemeClr w14:val="tx1"/>
                  </w14:solidFill>
                </w14:textFill>
              </w:rPr>
              <w:t>：</w:t>
            </w:r>
            <w:r>
              <w:rPr>
                <w:rFonts w:hint="eastAsia" w:ascii="Times New Roman" w:hAnsi="Times New Roman" w:eastAsia="宋体"/>
                <w:color w:val="000000" w:themeColor="text1"/>
                <w:spacing w:val="0"/>
                <w:sz w:val="21"/>
                <w:szCs w:val="22"/>
                <w:highlight w:val="none"/>
                <w14:textFill>
                  <w14:solidFill>
                    <w14:schemeClr w14:val="tx1"/>
                  </w14:solidFill>
                </w14:textFill>
              </w:rPr>
              <w:t>颗粒物产污系数取0.</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247</w:t>
            </w:r>
            <w:r>
              <w:rPr>
                <w:rFonts w:hint="eastAsia" w:ascii="Times New Roman" w:hAnsi="Times New Roman" w:eastAsia="宋体"/>
                <w:color w:val="000000" w:themeColor="text1"/>
                <w:spacing w:val="0"/>
                <w:sz w:val="21"/>
                <w:szCs w:val="22"/>
                <w:highlight w:val="none"/>
                <w14:textFill>
                  <w14:solidFill>
                    <w14:schemeClr w14:val="tx1"/>
                  </w14:solidFill>
                </w14:textFill>
              </w:rPr>
              <w:t>千克/吨</w:t>
            </w:r>
            <w:r>
              <w:rPr>
                <w:rFonts w:hint="eastAsia" w:ascii="Times New Roman" w:hAnsi="Times New Roman" w:eastAsia="宋体"/>
                <w:color w:val="000000" w:themeColor="text1"/>
                <w:spacing w:val="0"/>
                <w:sz w:val="21"/>
                <w:szCs w:val="22"/>
                <w:highlight w:val="none"/>
                <w:lang w:eastAsia="zh-CN"/>
                <w14:textFill>
                  <w14:solidFill>
                    <w14:schemeClr w14:val="tx1"/>
                  </w14:solidFill>
                </w14:textFill>
              </w:rPr>
              <w:t>－</w:t>
            </w:r>
            <w:r>
              <w:rPr>
                <w:rFonts w:hint="eastAsia" w:ascii="Times New Roman" w:hAnsi="Times New Roman" w:eastAsia="宋体"/>
                <w:color w:val="000000" w:themeColor="text1"/>
                <w:spacing w:val="0"/>
                <w:sz w:val="21"/>
                <w:szCs w:val="22"/>
                <w:highlight w:val="none"/>
                <w14:textFill>
                  <w14:solidFill>
                    <w14:schemeClr w14:val="tx1"/>
                  </w14:solidFill>
                </w14:textFill>
              </w:rPr>
              <w:t>产品</w:t>
            </w:r>
            <w:r>
              <w:rPr>
                <w:rFonts w:hint="eastAsia" w:ascii="Times New Roman" w:hAnsi="Times New Roman" w:eastAsia="宋体"/>
                <w:color w:val="000000" w:themeColor="text1"/>
                <w:spacing w:val="0"/>
                <w:sz w:val="21"/>
                <w:szCs w:val="22"/>
                <w:highlight w:val="none"/>
                <w:lang w:eastAsia="zh-CN"/>
                <w14:textFill>
                  <w14:solidFill>
                    <w14:schemeClr w14:val="tx1"/>
                  </w14:solidFill>
                </w14:textFill>
              </w:rPr>
              <w:t>，</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则压铸</w:t>
            </w:r>
            <w:r>
              <w:rPr>
                <w:rFonts w:hint="eastAsia" w:ascii="Times New Roman" w:hAnsi="Times New Roman" w:eastAsia="宋体"/>
                <w:color w:val="000000" w:themeColor="text1"/>
                <w:spacing w:val="0"/>
                <w:sz w:val="21"/>
                <w:szCs w:val="22"/>
                <w:highlight w:val="none"/>
                <w14:textFill>
                  <w14:solidFill>
                    <w14:schemeClr w14:val="tx1"/>
                  </w14:solidFill>
                </w14:textFill>
              </w:rPr>
              <w:t>工序颗粒物产生量为</w:t>
            </w:r>
            <w:r>
              <w:rPr>
                <w:rFonts w:hint="eastAsia" w:ascii="Times New Roman" w:hAnsi="Times New Roman"/>
                <w:color w:val="000000" w:themeColor="text1"/>
                <w:spacing w:val="0"/>
                <w:sz w:val="21"/>
                <w:szCs w:val="22"/>
                <w:highlight w:val="none"/>
                <w:lang w:val="en-US" w:eastAsia="zh-CN"/>
                <w14:textFill>
                  <w14:solidFill>
                    <w14:schemeClr w14:val="tx1"/>
                  </w14:solidFill>
                </w14:textFill>
              </w:rPr>
              <w:t>260</w:t>
            </w:r>
            <w:r>
              <w:rPr>
                <w:rFonts w:hint="eastAsia" w:ascii="Times New Roman" w:hAnsi="Times New Roman" w:eastAsia="宋体"/>
                <w:color w:val="000000" w:themeColor="text1"/>
                <w:spacing w:val="0"/>
                <w:sz w:val="21"/>
                <w:szCs w:val="22"/>
                <w:highlight w:val="none"/>
                <w14:textFill>
                  <w14:solidFill>
                    <w14:schemeClr w14:val="tx1"/>
                  </w14:solidFill>
                </w14:textFill>
              </w:rPr>
              <w:t>吨×0.</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247</w:t>
            </w:r>
            <w:r>
              <w:rPr>
                <w:rFonts w:hint="eastAsia" w:ascii="Times New Roman" w:hAnsi="Times New Roman" w:eastAsia="宋体"/>
                <w:color w:val="000000" w:themeColor="text1"/>
                <w:spacing w:val="0"/>
                <w:sz w:val="21"/>
                <w:szCs w:val="22"/>
                <w:highlight w:val="none"/>
                <w14:textFill>
                  <w14:solidFill>
                    <w14:schemeClr w14:val="tx1"/>
                  </w14:solidFill>
                </w14:textFill>
              </w:rPr>
              <w:t>千克/吨-产品</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w:t>
            </w:r>
            <w:r>
              <w:rPr>
                <w:rFonts w:hint="eastAsia" w:ascii="Times New Roman" w:hAnsi="Times New Roman"/>
                <w:color w:val="000000" w:themeColor="text1"/>
                <w:spacing w:val="0"/>
                <w:sz w:val="21"/>
                <w:szCs w:val="22"/>
                <w:highlight w:val="none"/>
                <w:lang w:val="en-US" w:eastAsia="zh-CN"/>
                <w14:textFill>
                  <w14:solidFill>
                    <w14:schemeClr w14:val="tx1"/>
                  </w14:solidFill>
                </w14:textFill>
              </w:rPr>
              <w:t>0.064</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t/a；因此熔融、压铸废气颗粒物产生量为</w:t>
            </w:r>
            <w:r>
              <w:rPr>
                <w:rFonts w:hint="eastAsia" w:ascii="Times New Roman" w:hAnsi="Times New Roman"/>
                <w:color w:val="000000" w:themeColor="text1"/>
                <w:spacing w:val="0"/>
                <w:sz w:val="21"/>
                <w:szCs w:val="22"/>
                <w:highlight w:val="none"/>
                <w:lang w:val="en-US" w:eastAsia="zh-CN"/>
                <w14:textFill>
                  <w14:solidFill>
                    <w14:schemeClr w14:val="tx1"/>
                  </w14:solidFill>
                </w14:textFill>
              </w:rPr>
              <w:t>0.309</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t/a。</w:t>
            </w:r>
          </w:p>
          <w:p w14:paraId="12F15375">
            <w:pPr>
              <w:pStyle w:val="75"/>
              <w:keepNext w:val="0"/>
              <w:keepLines/>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hint="eastAsia" w:ascii="Times New Roman" w:hAnsi="Times New Roman" w:eastAsia="宋体"/>
                <w:b w:val="0"/>
                <w:bCs w:val="0"/>
                <w:color w:val="000000" w:themeColor="text1"/>
                <w:spacing w:val="0"/>
                <w:sz w:val="21"/>
                <w:szCs w:val="22"/>
                <w:highlight w:val="none"/>
                <w:lang w:val="en-US" w:eastAsia="zh-CN"/>
                <w14:textFill>
                  <w14:solidFill>
                    <w14:schemeClr w14:val="tx1"/>
                  </w14:solidFill>
                </w14:textFill>
              </w:rPr>
            </w:pPr>
            <w:r>
              <w:rPr>
                <w:rFonts w:ascii="Times New Roman" w:hAnsi="Times New Roman" w:eastAsia="宋体"/>
                <w:b w:val="0"/>
                <w:bCs w:val="0"/>
                <w:color w:val="000000" w:themeColor="text1"/>
                <w:spacing w:val="0"/>
                <w:sz w:val="21"/>
                <w:szCs w:val="22"/>
                <w:highlight w:val="none"/>
                <w14:textFill>
                  <w14:solidFill>
                    <w14:schemeClr w14:val="tx1"/>
                  </w14:solidFill>
                </w14:textFill>
              </w:rPr>
              <w:t>②脱模废气</w:t>
            </w:r>
          </w:p>
          <w:p w14:paraId="1AC6F8D5">
            <w:pPr>
              <w:keepNext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Times New Roman" w:hAnsi="Times New Roman" w:eastAsia="宋体" w:cs="宋体"/>
                <w:color w:val="000000" w:themeColor="text1"/>
                <w:spacing w:val="0"/>
                <w:sz w:val="21"/>
                <w:szCs w:val="22"/>
                <w:highlight w:val="none"/>
                <w14:textFill>
                  <w14:solidFill>
                    <w14:schemeClr w14:val="tx1"/>
                  </w14:solidFill>
                </w14:textFill>
              </w:rPr>
            </w:pPr>
            <w:r>
              <w:rPr>
                <w:rFonts w:hint="eastAsia" w:ascii="Times New Roman" w:hAnsi="Times New Roman" w:eastAsia="宋体" w:cs="宋体"/>
                <w:color w:val="000000" w:themeColor="text1"/>
                <w:spacing w:val="0"/>
                <w:sz w:val="21"/>
                <w:szCs w:val="22"/>
                <w:highlight w:val="none"/>
                <w14:textFill>
                  <w14:solidFill>
                    <w14:schemeClr w14:val="tx1"/>
                  </w14:solidFill>
                </w14:textFill>
              </w:rPr>
              <w:t>项目喷脱模剂过程中会产生少量有机废气，其主要污染物以</w:t>
            </w:r>
            <w:r>
              <w:rPr>
                <w:rFonts w:hint="eastAsia" w:ascii="Times New Roman" w:hAnsi="Times New Roman" w:eastAsia="宋体" w:cs="宋体"/>
                <w:color w:val="000000" w:themeColor="text1"/>
                <w:spacing w:val="0"/>
                <w:sz w:val="21"/>
                <w:szCs w:val="22"/>
                <w:highlight w:val="none"/>
                <w:lang w:val="en-US" w:eastAsia="zh-CN"/>
                <w14:textFill>
                  <w14:solidFill>
                    <w14:schemeClr w14:val="tx1"/>
                  </w14:solidFill>
                </w14:textFill>
              </w:rPr>
              <w:t>TVOC、非甲烷总烃</w:t>
            </w:r>
            <w:r>
              <w:rPr>
                <w:rFonts w:hint="eastAsia" w:ascii="Times New Roman" w:hAnsi="Times New Roman" w:eastAsia="宋体" w:cs="宋体"/>
                <w:color w:val="000000" w:themeColor="text1"/>
                <w:spacing w:val="0"/>
                <w:sz w:val="21"/>
                <w:szCs w:val="22"/>
                <w:highlight w:val="none"/>
                <w14:textFill>
                  <w14:solidFill>
                    <w14:schemeClr w14:val="tx1"/>
                  </w14:solidFill>
                </w14:textFill>
              </w:rPr>
              <w:t>表征，异味以臭气浓度表征</w:t>
            </w:r>
            <w:r>
              <w:rPr>
                <w:rFonts w:hint="eastAsia" w:ascii="Times New Roman" w:hAnsi="Times New Roman" w:eastAsia="宋体" w:cs="宋体"/>
                <w:color w:val="000000" w:themeColor="text1"/>
                <w:spacing w:val="0"/>
                <w:sz w:val="21"/>
                <w:szCs w:val="22"/>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项目脱模剂使用量为</w:t>
            </w:r>
            <w:r>
              <w:rPr>
                <w:rFonts w:hint="eastAsia" w:ascii="Times New Roman" w:hAnsi="Times New Roman" w:cs="Times New Roman"/>
                <w:color w:val="000000" w:themeColor="text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t/a，脱模剂的挥发分为</w:t>
            </w:r>
            <w:r>
              <w:rPr>
                <w:rFonts w:hint="eastAsia" w:ascii="Times New Roman" w:hAnsi="Times New Roman" w:cs="Times New Roman"/>
                <w:color w:val="000000" w:themeColor="text1"/>
                <w:szCs w:val="21"/>
                <w:highlight w:val="none"/>
                <w:lang w:val="en-US" w:eastAsia="zh-CN"/>
                <w14:textFill>
                  <w14:solidFill>
                    <w14:schemeClr w14:val="tx1"/>
                  </w14:solidFill>
                </w14:textFill>
              </w:rPr>
              <w:t>表面活性剂</w:t>
            </w:r>
            <w:r>
              <w:rPr>
                <w:rFonts w:hint="eastAsia" w:cs="Times New Roman"/>
                <w:color w:val="000000" w:themeColor="text1"/>
                <w:szCs w:val="21"/>
                <w:highlight w:val="none"/>
                <w:lang w:val="en-US" w:eastAsia="zh-CN"/>
                <w14:textFill>
                  <w14:solidFill>
                    <w14:schemeClr w14:val="tx1"/>
                  </w14:solidFill>
                </w14:textFill>
              </w:rPr>
              <w:t>（三乙醇胺）</w:t>
            </w:r>
            <w:r>
              <w:rPr>
                <w:rFonts w:hint="eastAsia" w:ascii="Times New Roman" w:hAnsi="Times New Roman" w:cs="Times New Roman"/>
                <w:color w:val="000000" w:themeColor="text1"/>
                <w:szCs w:val="21"/>
                <w:highlight w:val="none"/>
                <w:lang w:val="en-US" w:eastAsia="zh-CN"/>
                <w14:textFill>
                  <w14:solidFill>
                    <w14:schemeClr w14:val="tx1"/>
                  </w14:solidFill>
                </w14:textFill>
              </w:rPr>
              <w:t>4.5%、杀菌剂</w:t>
            </w:r>
            <w:r>
              <w:rPr>
                <w:rFonts w:hint="eastAsia" w:cs="Times New Roman"/>
                <w:color w:val="000000" w:themeColor="text1"/>
                <w:szCs w:val="21"/>
                <w:highlight w:val="none"/>
                <w:lang w:val="en-US" w:eastAsia="zh-CN"/>
                <w14:textFill>
                  <w14:solidFill>
                    <w14:schemeClr w14:val="tx1"/>
                  </w14:solidFill>
                </w14:textFill>
              </w:rPr>
              <w:t>（异噻唑啉酮类）</w:t>
            </w:r>
            <w:r>
              <w:rPr>
                <w:rFonts w:hint="eastAsia" w:ascii="Times New Roman" w:hAnsi="Times New Roman" w:cs="Times New Roman"/>
                <w:color w:val="000000" w:themeColor="text1"/>
                <w:szCs w:val="21"/>
                <w:highlight w:val="none"/>
                <w:lang w:val="en-US" w:eastAsia="zh-CN"/>
                <w14:textFill>
                  <w14:solidFill>
                    <w14:schemeClr w14:val="tx1"/>
                  </w14:solidFill>
                </w14:textFill>
              </w:rPr>
              <w:t>0.5%</w:t>
            </w:r>
            <w:r>
              <w:rPr>
                <w:rFonts w:hint="default" w:ascii="Times New Roman" w:hAnsi="Times New Roman" w:cs="Times New Roman"/>
                <w:color w:val="000000" w:themeColor="text1"/>
                <w:szCs w:val="21"/>
                <w:highlight w:val="none"/>
                <w14:textFill>
                  <w14:solidFill>
                    <w14:schemeClr w14:val="tx1"/>
                  </w14:solidFill>
                </w14:textFill>
              </w:rPr>
              <w:t>，挥发分含量按</w:t>
            </w:r>
            <w:r>
              <w:rPr>
                <w:rFonts w:hint="eastAsia" w:cs="Times New Roman"/>
                <w:color w:val="000000" w:themeColor="text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Cs w:val="21"/>
                <w:highlight w:val="none"/>
                <w14:textFill>
                  <w14:solidFill>
                    <w14:schemeClr w14:val="tx1"/>
                  </w14:solidFill>
                </w14:textFill>
              </w:rPr>
              <w:t>%计，则压铸过程有机废气产生量=</w:t>
            </w:r>
            <w:r>
              <w:rPr>
                <w:rFonts w:hint="eastAsia" w:ascii="Times New Roman" w:hAnsi="Times New Roman" w:cs="Times New Roman"/>
                <w:color w:val="000000" w:themeColor="text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Cs w:val="21"/>
                <w:highlight w:val="none"/>
                <w14:textFill>
                  <w14:solidFill>
                    <w14:schemeClr w14:val="tx1"/>
                  </w14:solidFill>
                </w14:textFill>
              </w:rPr>
              <w:t>%=0.</w:t>
            </w:r>
            <w:r>
              <w:rPr>
                <w:rFonts w:hint="eastAsia" w:cs="Times New Roman"/>
                <w:color w:val="000000" w:themeColor="text1"/>
                <w:szCs w:val="21"/>
                <w:highlight w:val="none"/>
                <w:lang w:val="en-US" w:eastAsia="zh-CN"/>
                <w14:textFill>
                  <w14:solidFill>
                    <w14:schemeClr w14:val="tx1"/>
                  </w14:solidFill>
                </w14:textFill>
              </w:rPr>
              <w:t>15</w:t>
            </w:r>
            <w:r>
              <w:rPr>
                <w:rFonts w:hint="default" w:ascii="Times New Roman" w:hAnsi="Times New Roman" w:cs="Times New Roman"/>
                <w:color w:val="000000" w:themeColor="text1"/>
                <w:szCs w:val="21"/>
                <w:highlight w:val="none"/>
                <w14:textFill>
                  <w14:solidFill>
                    <w14:schemeClr w14:val="tx1"/>
                  </w14:solidFill>
                </w14:textFill>
              </w:rPr>
              <w:t>t/a</w:t>
            </w: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宋体"/>
                <w:color w:val="000000" w:themeColor="text1"/>
                <w:spacing w:val="0"/>
                <w:sz w:val="21"/>
                <w:szCs w:val="22"/>
                <w:highlight w:val="none"/>
                <w:lang w:val="en-US" w:eastAsia="zh-CN"/>
                <w14:textFill>
                  <w14:solidFill>
                    <w14:schemeClr w14:val="tx1"/>
                  </w14:solidFill>
                </w14:textFill>
              </w:rPr>
              <w:t>则TVOC</w:t>
            </w:r>
            <w:r>
              <w:rPr>
                <w:rFonts w:hint="eastAsia" w:cs="宋体"/>
                <w:color w:val="000000" w:themeColor="text1"/>
                <w:spacing w:val="0"/>
                <w:sz w:val="21"/>
                <w:szCs w:val="22"/>
                <w:highlight w:val="none"/>
                <w:lang w:val="en-US" w:eastAsia="zh-CN"/>
                <w14:textFill>
                  <w14:solidFill>
                    <w14:schemeClr w14:val="tx1"/>
                  </w14:solidFill>
                </w14:textFill>
              </w:rPr>
              <w:t>、</w:t>
            </w:r>
            <w:r>
              <w:rPr>
                <w:rFonts w:hint="eastAsia" w:ascii="Times New Roman" w:hAnsi="Times New Roman" w:eastAsia="宋体" w:cs="宋体"/>
                <w:color w:val="000000" w:themeColor="text1"/>
                <w:spacing w:val="0"/>
                <w:sz w:val="21"/>
                <w:szCs w:val="22"/>
                <w:highlight w:val="none"/>
                <w:lang w:val="en-US" w:eastAsia="zh-CN"/>
                <w14:textFill>
                  <w14:solidFill>
                    <w14:schemeClr w14:val="tx1"/>
                  </w14:solidFill>
                </w14:textFill>
              </w:rPr>
              <w:t>非甲烷总烃</w:t>
            </w:r>
            <w:r>
              <w:rPr>
                <w:rFonts w:hint="eastAsia" w:ascii="Times New Roman" w:hAnsi="Times New Roman" w:eastAsia="宋体" w:cs="宋体"/>
                <w:color w:val="000000" w:themeColor="text1"/>
                <w:spacing w:val="0"/>
                <w:sz w:val="21"/>
                <w:szCs w:val="22"/>
                <w:highlight w:val="none"/>
                <w14:textFill>
                  <w14:solidFill>
                    <w14:schemeClr w14:val="tx1"/>
                  </w14:solidFill>
                </w14:textFill>
              </w:rPr>
              <w:t>产生量为0.</w:t>
            </w:r>
            <w:r>
              <w:rPr>
                <w:rFonts w:hint="eastAsia" w:cs="宋体"/>
                <w:color w:val="000000" w:themeColor="text1"/>
                <w:spacing w:val="0"/>
                <w:sz w:val="21"/>
                <w:szCs w:val="22"/>
                <w:highlight w:val="none"/>
                <w:lang w:val="en-US" w:eastAsia="zh-CN"/>
                <w14:textFill>
                  <w14:solidFill>
                    <w14:schemeClr w14:val="tx1"/>
                  </w14:solidFill>
                </w14:textFill>
              </w:rPr>
              <w:t>15</w:t>
            </w:r>
            <w:r>
              <w:rPr>
                <w:rFonts w:hint="eastAsia" w:ascii="Times New Roman" w:hAnsi="Times New Roman" w:eastAsia="宋体" w:cs="宋体"/>
                <w:color w:val="000000" w:themeColor="text1"/>
                <w:spacing w:val="0"/>
                <w:sz w:val="21"/>
                <w:szCs w:val="22"/>
                <w:highlight w:val="none"/>
                <w14:textFill>
                  <w14:solidFill>
                    <w14:schemeClr w14:val="tx1"/>
                  </w14:solidFill>
                </w14:textFill>
              </w:rPr>
              <w:t>t/a。</w:t>
            </w:r>
          </w:p>
          <w:p w14:paraId="01ECEEBE">
            <w:pPr>
              <w:pStyle w:val="75"/>
              <w:keepNext w:val="0"/>
              <w:keepLines/>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hint="eastAsia" w:ascii="Times New Roman" w:hAnsi="Times New Roman" w:eastAsia="宋体" w:cs="宋体"/>
                <w:b w:val="0"/>
                <w:bCs w:val="0"/>
                <w:color w:val="000000" w:themeColor="text1"/>
                <w:spacing w:val="0"/>
                <w:sz w:val="21"/>
                <w:szCs w:val="22"/>
                <w:highlight w:val="none"/>
                <w14:textFill>
                  <w14:solidFill>
                    <w14:schemeClr w14:val="tx1"/>
                  </w14:solidFill>
                </w14:textFill>
              </w:rPr>
            </w:pPr>
            <w:r>
              <w:rPr>
                <w:rFonts w:hint="eastAsia" w:ascii="Times New Roman" w:hAnsi="Times New Roman" w:eastAsia="宋体" w:cs="宋体"/>
                <w:color w:val="000000" w:themeColor="text1"/>
                <w:spacing w:val="0"/>
                <w:sz w:val="21"/>
                <w:szCs w:val="22"/>
                <w:highlight w:val="none"/>
                <w:lang w:val="en-US" w:eastAsia="zh-CN"/>
                <w14:textFill>
                  <w14:solidFill>
                    <w14:schemeClr w14:val="tx1"/>
                  </w14:solidFill>
                </w14:textFill>
              </w:rPr>
              <w:t>③</w:t>
            </w:r>
            <w:r>
              <w:rPr>
                <w:rFonts w:hint="eastAsia" w:ascii="Times New Roman" w:hAnsi="Times New Roman" w:cs="宋体"/>
                <w:b w:val="0"/>
                <w:bCs w:val="0"/>
                <w:color w:val="000000" w:themeColor="text1"/>
                <w:spacing w:val="0"/>
                <w:sz w:val="21"/>
                <w:szCs w:val="22"/>
                <w:highlight w:val="none"/>
                <w:lang w:val="en-US" w:eastAsia="zh-CN"/>
                <w14:textFill>
                  <w14:solidFill>
                    <w14:schemeClr w14:val="tx1"/>
                  </w14:solidFill>
                </w14:textFill>
              </w:rPr>
              <w:t>液化石油气</w:t>
            </w:r>
            <w:r>
              <w:rPr>
                <w:rFonts w:hint="eastAsia" w:ascii="Times New Roman" w:hAnsi="Times New Roman" w:eastAsia="宋体" w:cs="宋体"/>
                <w:b w:val="0"/>
                <w:bCs w:val="0"/>
                <w:color w:val="000000" w:themeColor="text1"/>
                <w:spacing w:val="0"/>
                <w:sz w:val="21"/>
                <w:szCs w:val="22"/>
                <w:highlight w:val="none"/>
                <w14:textFill>
                  <w14:solidFill>
                    <w14:schemeClr w14:val="tx1"/>
                  </w14:solidFill>
                </w14:textFill>
              </w:rPr>
              <w:t>燃烧废气</w:t>
            </w:r>
          </w:p>
          <w:p w14:paraId="717DA0F1">
            <w:pPr>
              <w:pStyle w:val="75"/>
              <w:keepNext w:val="0"/>
              <w:keepLines/>
              <w:pageBreakBefore w:val="0"/>
              <w:widowControl/>
              <w:kinsoku/>
              <w:wordWrap/>
              <w:overflowPunct/>
              <w:topLinePunct w:val="0"/>
              <w:autoSpaceDE/>
              <w:autoSpaceDN/>
              <w:bidi w:val="0"/>
              <w:adjustRightInd/>
              <w:snapToGrid/>
              <w:spacing w:line="360" w:lineRule="auto"/>
              <w:ind w:left="0" w:firstLine="420" w:firstLineChars="200"/>
              <w:jc w:val="both"/>
              <w:textAlignment w:val="auto"/>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pacing w:val="0"/>
                <w:sz w:val="21"/>
                <w:szCs w:val="21"/>
                <w:highlight w:val="none"/>
                <w14:textFill>
                  <w14:solidFill>
                    <w14:schemeClr w14:val="tx1"/>
                  </w14:solidFill>
                </w14:textFill>
              </w:rPr>
              <w:t>项目</w:t>
            </w:r>
            <w:r>
              <w:rPr>
                <w:rFonts w:hint="eastAsia" w:ascii="Times New Roman" w:hAnsi="Times New Roman" w:cs="宋体"/>
                <w:color w:val="000000" w:themeColor="text1"/>
                <w:spacing w:val="0"/>
                <w:sz w:val="21"/>
                <w:szCs w:val="21"/>
                <w:highlight w:val="none"/>
                <w:lang w:val="en-US" w:eastAsia="zh-CN"/>
                <w14:textFill>
                  <w14:solidFill>
                    <w14:schemeClr w14:val="tx1"/>
                  </w14:solidFill>
                </w14:textFill>
              </w:rPr>
              <w:t>熔融过程中，</w:t>
            </w:r>
            <w:r>
              <w:rPr>
                <w:rFonts w:hint="eastAsia" w:ascii="Times New Roman" w:hAnsi="Times New Roman"/>
                <w:color w:val="000000" w:themeColor="text1"/>
                <w:sz w:val="21"/>
                <w:szCs w:val="21"/>
                <w:highlight w:val="none"/>
                <w:lang w:val="en-US" w:eastAsia="zh-CN"/>
                <w14:textFill>
                  <w14:solidFill>
                    <w14:schemeClr w14:val="tx1"/>
                  </w14:solidFill>
                </w14:textFill>
              </w:rPr>
              <w:t>耗能为</w:t>
            </w:r>
            <w:r>
              <w:rPr>
                <w:rFonts w:hint="eastAsia" w:ascii="Times New Roman" w:hAnsi="Times New Roman" w:cs="宋体"/>
                <w:color w:val="000000" w:themeColor="text1"/>
                <w:spacing w:val="0"/>
                <w:sz w:val="21"/>
                <w:szCs w:val="21"/>
                <w:highlight w:val="none"/>
                <w:lang w:val="en-US" w:eastAsia="zh-CN"/>
                <w14:textFill>
                  <w14:solidFill>
                    <w14:schemeClr w14:val="tx1"/>
                  </w14:solidFill>
                </w14:textFill>
              </w:rPr>
              <w:t>液化石油气</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产生</w:t>
            </w:r>
            <w:r>
              <w:rPr>
                <w:rFonts w:hint="eastAsia" w:ascii="Times New Roman" w:hAnsi="Times New Roman" w:cs="宋体"/>
                <w:color w:val="000000" w:themeColor="text1"/>
                <w:spacing w:val="0"/>
                <w:sz w:val="21"/>
                <w:szCs w:val="21"/>
                <w:highlight w:val="none"/>
                <w:lang w:val="en-US" w:eastAsia="zh-CN"/>
                <w14:textFill>
                  <w14:solidFill>
                    <w14:schemeClr w14:val="tx1"/>
                  </w14:solidFill>
                </w14:textFill>
              </w:rPr>
              <w:t>液化石油气</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燃烧废气。其主要污染物</w:t>
            </w:r>
            <w:r>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t>为</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SO</w:t>
            </w:r>
            <w:r>
              <w:rPr>
                <w:rFonts w:hint="eastAsia" w:ascii="Times New Roman" w:hAnsi="Times New Roman" w:eastAsia="宋体" w:cs="宋体"/>
                <w:color w:val="000000" w:themeColor="text1"/>
                <w:spacing w:val="0"/>
                <w:sz w:val="21"/>
                <w:szCs w:val="21"/>
                <w:highlight w:val="none"/>
                <w:vertAlign w:val="subscript"/>
                <w:lang w:val="en-US" w:eastAsia="zh-CN"/>
                <w14:textFill>
                  <w14:solidFill>
                    <w14:schemeClr w14:val="tx1"/>
                  </w14:solidFill>
                </w14:textFill>
              </w:rPr>
              <w:t>2</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、NO</w:t>
            </w:r>
            <w:r>
              <w:rPr>
                <w:rFonts w:hint="eastAsia" w:ascii="Times New Roman" w:hAnsi="Times New Roman" w:eastAsia="宋体" w:cs="宋体"/>
                <w:color w:val="000000" w:themeColor="text1"/>
                <w:spacing w:val="0"/>
                <w:sz w:val="21"/>
                <w:szCs w:val="21"/>
                <w:highlight w:val="none"/>
                <w:vertAlign w:val="subscript"/>
                <w14:textFill>
                  <w14:solidFill>
                    <w14:schemeClr w14:val="tx1"/>
                  </w14:solidFill>
                </w14:textFill>
              </w:rPr>
              <w:t>x</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、颗粒物</w:t>
            </w:r>
            <w:r>
              <w:rPr>
                <w:rFonts w:hint="eastAsia"/>
                <w:color w:val="000000" w:themeColor="text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林格曼黑度</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w:t>
            </w:r>
            <w:r>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t>项目</w:t>
            </w:r>
            <w:r>
              <w:rPr>
                <w:rFonts w:hint="eastAsia" w:ascii="Times New Roman" w:hAnsi="Times New Roman" w:cs="宋体"/>
                <w:color w:val="000000" w:themeColor="text1"/>
                <w:spacing w:val="0"/>
                <w:sz w:val="21"/>
                <w:szCs w:val="21"/>
                <w:highlight w:val="none"/>
                <w:lang w:val="en-US" w:eastAsia="zh-CN"/>
                <w14:textFill>
                  <w14:solidFill>
                    <w14:schemeClr w14:val="tx1"/>
                  </w14:solidFill>
                </w14:textFill>
              </w:rPr>
              <w:t>液化石油气</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年用量约</w:t>
            </w:r>
            <w:r>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t>12199</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m³</w:t>
            </w:r>
            <w:r>
              <w:rPr>
                <w:rFonts w:hint="eastAsia" w:ascii="Times New Roman" w:hAnsi="Times New Roman" w:eastAsia="宋体" w:cs="宋体"/>
                <w:color w:val="000000" w:themeColor="text1"/>
                <w:spacing w:val="0"/>
                <w:sz w:val="21"/>
                <w:szCs w:val="21"/>
                <w:highlight w:val="none"/>
                <w:lang w:eastAsia="zh-CN"/>
                <w14:textFill>
                  <w14:solidFill>
                    <w14:schemeClr w14:val="tx1"/>
                  </w14:solidFill>
                </w14:textFill>
              </w:rPr>
              <w:t>，</w:t>
            </w:r>
            <w:r>
              <w:rPr>
                <w:rFonts w:hint="eastAsia" w:ascii="Times New Roman" w:hAnsi="Times New Roman" w:cs="宋体"/>
                <w:color w:val="000000" w:themeColor="text1"/>
                <w:spacing w:val="0"/>
                <w:sz w:val="21"/>
                <w:szCs w:val="21"/>
                <w:highlight w:val="none"/>
                <w:lang w:val="en-US" w:eastAsia="zh-CN"/>
                <w14:textFill>
                  <w14:solidFill>
                    <w14:schemeClr w14:val="tx1"/>
                  </w14:solidFill>
                </w14:textFill>
              </w:rPr>
              <w:t>液化石油气</w:t>
            </w:r>
            <w:r>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t>燃烧过程的废气污染物按照</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《排放源统计调查产排污核算方法和系数手册》中“机械行业系数手册-</w:t>
            </w:r>
            <w:r>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t>14涂装-</w:t>
            </w:r>
            <w:r>
              <w:rPr>
                <w:rFonts w:hint="eastAsia" w:ascii="Times New Roman" w:hAnsi="Times New Roman" w:cs="宋体"/>
                <w:color w:val="000000" w:themeColor="text1"/>
                <w:spacing w:val="0"/>
                <w:sz w:val="21"/>
                <w:szCs w:val="21"/>
                <w:highlight w:val="none"/>
                <w:lang w:val="en-US" w:eastAsia="zh-CN"/>
                <w14:textFill>
                  <w14:solidFill>
                    <w14:schemeClr w14:val="tx1"/>
                  </w14:solidFill>
                </w14:textFill>
              </w:rPr>
              <w:t>液化石油</w:t>
            </w:r>
            <w:r>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t>气工业炉窑</w:t>
            </w:r>
            <w:r>
              <w:rPr>
                <w:rFonts w:hint="eastAsia" w:ascii="Times New Roman" w:hAnsi="Times New Roman" w:eastAsia="宋体" w:cs="宋体"/>
                <w:color w:val="000000" w:themeColor="text1"/>
                <w:spacing w:val="0"/>
                <w:sz w:val="21"/>
                <w:szCs w:val="21"/>
                <w:highlight w:val="none"/>
                <w14:textFill>
                  <w14:solidFill>
                    <w14:schemeClr w14:val="tx1"/>
                  </w14:solidFill>
                </w14:textFill>
              </w:rPr>
              <w:t>”</w:t>
            </w:r>
            <w:r>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t>的产污系数，详见下表。</w:t>
            </w:r>
          </w:p>
          <w:p w14:paraId="148AD95E">
            <w:pPr>
              <w:pStyle w:val="75"/>
              <w:keepNext w:val="0"/>
              <w:keepLines/>
              <w:pageBreakBefore w:val="0"/>
              <w:widowControl/>
              <w:kinsoku/>
              <w:wordWrap/>
              <w:overflowPunct/>
              <w:topLinePunct w:val="0"/>
              <w:autoSpaceDE/>
              <w:autoSpaceDN/>
              <w:bidi w:val="0"/>
              <w:adjustRightInd/>
              <w:snapToGrid/>
              <w:spacing w:line="360" w:lineRule="auto"/>
              <w:ind w:left="0" w:firstLine="482" w:firstLineChars="200"/>
              <w:jc w:val="center"/>
              <w:textAlignment w:val="auto"/>
              <w:rPr>
                <w:rFonts w:hint="eastAsia" w:ascii="Times New Roman" w:hAnsi="Times New Roman" w:eastAsia="宋体" w:cs="宋体"/>
                <w:b/>
                <w:bCs/>
                <w:color w:val="000000" w:themeColor="text1"/>
                <w:spacing w:val="0"/>
                <w:sz w:val="24"/>
                <w:szCs w:val="24"/>
                <w:highlight w:val="none"/>
                <w:lang w:val="en-US" w:eastAsia="zh-CN"/>
                <w14:textFill>
                  <w14:solidFill>
                    <w14:schemeClr w14:val="tx1"/>
                  </w14:solidFill>
                </w14:textFill>
              </w:rPr>
            </w:pPr>
            <w:r>
              <w:rPr>
                <w:rFonts w:hint="eastAsia" w:ascii="Times New Roman" w:hAnsi="Times New Roman" w:eastAsia="宋体"/>
                <w:b/>
                <w:bCs/>
                <w:color w:val="000000" w:themeColor="text1"/>
                <w:spacing w:val="0"/>
                <w:sz w:val="24"/>
                <w:szCs w:val="24"/>
                <w:highlight w:val="none"/>
                <w:lang w:val="en-US" w:eastAsia="zh-CN"/>
                <w14:textFill>
                  <w14:solidFill>
                    <w14:schemeClr w14:val="tx1"/>
                  </w14:solidFill>
                </w14:textFill>
              </w:rPr>
              <w:t>表</w:t>
            </w:r>
            <w:r>
              <w:rPr>
                <w:rFonts w:hint="eastAsia" w:ascii="Times New Roman" w:hAnsi="Times New Roman"/>
                <w:b/>
                <w:bCs/>
                <w:color w:val="000000" w:themeColor="text1"/>
                <w:spacing w:val="0"/>
                <w:sz w:val="24"/>
                <w:szCs w:val="24"/>
                <w:highlight w:val="none"/>
                <w:lang w:val="en-US" w:eastAsia="zh-CN"/>
                <w14:textFill>
                  <w14:solidFill>
                    <w14:schemeClr w14:val="tx1"/>
                  </w14:solidFill>
                </w14:textFill>
              </w:rPr>
              <w:t>20</w:t>
            </w:r>
            <w:r>
              <w:rPr>
                <w:rFonts w:hint="eastAsia" w:ascii="Times New Roman" w:hAnsi="Times New Roman" w:eastAsia="宋体"/>
                <w:b/>
                <w:bCs/>
                <w:color w:val="000000" w:themeColor="text1"/>
                <w:spacing w:val="0"/>
                <w:sz w:val="24"/>
                <w:szCs w:val="24"/>
                <w:highlight w:val="none"/>
                <w:lang w:val="en-US" w:eastAsia="zh-CN"/>
                <w14:textFill>
                  <w14:solidFill>
                    <w14:schemeClr w14:val="tx1"/>
                  </w14:solidFill>
                </w14:textFill>
              </w:rPr>
              <w:t>液化石油气燃烧废气核算一览表</w:t>
            </w:r>
          </w:p>
          <w:tbl>
            <w:tblPr>
              <w:tblStyle w:val="34"/>
              <w:tblW w:w="7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252"/>
              <w:gridCol w:w="1155"/>
              <w:gridCol w:w="1218"/>
              <w:gridCol w:w="1328"/>
              <w:gridCol w:w="1392"/>
            </w:tblGrid>
            <w:tr w14:paraId="54BC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1154" w:type="dxa"/>
                  <w:noWrap w:val="0"/>
                  <w:vAlign w:val="center"/>
                </w:tcPr>
                <w:p w14:paraId="111B5812">
                  <w:pPr>
                    <w:pStyle w:val="75"/>
                    <w:keepLines/>
                    <w:pageBreakBefore w:val="0"/>
                    <w:widowControl/>
                    <w:bidi w:val="0"/>
                    <w:spacing w:before="21" w:line="240" w:lineRule="auto"/>
                    <w:ind w:right="8"/>
                    <w:jc w:val="center"/>
                    <w:rPr>
                      <w:rFonts w:hint="default"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t>原料名称</w:t>
                  </w:r>
                </w:p>
              </w:tc>
              <w:tc>
                <w:tcPr>
                  <w:tcW w:w="1252" w:type="dxa"/>
                  <w:noWrap w:val="0"/>
                  <w:vAlign w:val="center"/>
                </w:tcPr>
                <w:p w14:paraId="5AD262D2">
                  <w:pPr>
                    <w:pStyle w:val="75"/>
                    <w:keepLines/>
                    <w:pageBreakBefore w:val="0"/>
                    <w:widowControl/>
                    <w:bidi w:val="0"/>
                    <w:spacing w:before="21" w:line="240" w:lineRule="auto"/>
                    <w:ind w:right="8"/>
                    <w:jc w:val="center"/>
                    <w:rPr>
                      <w:rFonts w:hint="default"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t>污染物</w:t>
                  </w:r>
                </w:p>
              </w:tc>
              <w:tc>
                <w:tcPr>
                  <w:tcW w:w="1155" w:type="dxa"/>
                  <w:noWrap w:val="0"/>
                  <w:vAlign w:val="center"/>
                </w:tcPr>
                <w:p w14:paraId="66281C18">
                  <w:pPr>
                    <w:pStyle w:val="75"/>
                    <w:keepLines/>
                    <w:pageBreakBefore w:val="0"/>
                    <w:widowControl/>
                    <w:bidi w:val="0"/>
                    <w:spacing w:before="21" w:line="240" w:lineRule="auto"/>
                    <w:ind w:right="8"/>
                    <w:jc w:val="center"/>
                    <w:rPr>
                      <w:rFonts w:hint="default"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t>单位</w:t>
                  </w:r>
                </w:p>
              </w:tc>
              <w:tc>
                <w:tcPr>
                  <w:tcW w:w="1218" w:type="dxa"/>
                  <w:noWrap w:val="0"/>
                  <w:vAlign w:val="center"/>
                </w:tcPr>
                <w:p w14:paraId="197AD29D">
                  <w:pPr>
                    <w:pStyle w:val="75"/>
                    <w:keepLines/>
                    <w:pageBreakBefore w:val="0"/>
                    <w:widowControl/>
                    <w:bidi w:val="0"/>
                    <w:spacing w:before="21" w:line="240" w:lineRule="auto"/>
                    <w:ind w:right="8"/>
                    <w:jc w:val="center"/>
                    <w:rPr>
                      <w:rFonts w:hint="default"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t>产物系数</w:t>
                  </w:r>
                </w:p>
              </w:tc>
              <w:tc>
                <w:tcPr>
                  <w:tcW w:w="1328" w:type="dxa"/>
                  <w:noWrap w:val="0"/>
                  <w:vAlign w:val="center"/>
                </w:tcPr>
                <w:p w14:paraId="4CED9983">
                  <w:pPr>
                    <w:pStyle w:val="75"/>
                    <w:keepLines/>
                    <w:pageBreakBefore w:val="0"/>
                    <w:widowControl/>
                    <w:bidi w:val="0"/>
                    <w:spacing w:before="21" w:line="240" w:lineRule="auto"/>
                    <w:ind w:right="8"/>
                    <w:jc w:val="center"/>
                    <w:rPr>
                      <w:rFonts w:hint="eastAsia"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t>原料年用量（</w:t>
                  </w:r>
                  <w:r>
                    <w:rPr>
                      <w:rFonts w:hint="eastAsia" w:ascii="Times New Roman" w:hAnsi="Times New Roman" w:eastAsia="宋体" w:cs="Times New Roman"/>
                      <w:b/>
                      <w:bCs/>
                      <w:snapToGrid w:val="0"/>
                      <w:color w:val="000000" w:themeColor="text1"/>
                      <w:spacing w:val="0"/>
                      <w:sz w:val="21"/>
                      <w:szCs w:val="21"/>
                      <w:highlight w:val="none"/>
                      <w:lang w:val="en-US" w:eastAsia="zh-CN"/>
                      <w14:textFill>
                        <w14:solidFill>
                          <w14:schemeClr w14:val="tx1"/>
                        </w14:solidFill>
                      </w14:textFill>
                    </w:rPr>
                    <w:t>m³</w:t>
                  </w:r>
                  <w:r>
                    <w:rPr>
                      <w:rFonts w:hint="eastAsia" w:ascii="Times New Roman" w:hAnsi="Times New Roman" w:eastAsia="宋体"/>
                      <w:b/>
                      <w:bCs/>
                      <w:color w:val="000000" w:themeColor="text1"/>
                      <w:spacing w:val="0"/>
                      <w:sz w:val="21"/>
                      <w:szCs w:val="22"/>
                      <w:highlight w:val="none"/>
                      <w:lang w:eastAsia="zh-CN"/>
                      <w14:textFill>
                        <w14:solidFill>
                          <w14:schemeClr w14:val="tx1"/>
                        </w14:solidFill>
                      </w14:textFill>
                    </w:rPr>
                    <w:t>）</w:t>
                  </w:r>
                </w:p>
              </w:tc>
              <w:tc>
                <w:tcPr>
                  <w:tcW w:w="1392" w:type="dxa"/>
                  <w:noWrap w:val="0"/>
                  <w:vAlign w:val="center"/>
                </w:tcPr>
                <w:p w14:paraId="2C30FF1F">
                  <w:pPr>
                    <w:pStyle w:val="75"/>
                    <w:keepLines/>
                    <w:pageBreakBefore w:val="0"/>
                    <w:widowControl/>
                    <w:bidi w:val="0"/>
                    <w:spacing w:before="21" w:line="240" w:lineRule="auto"/>
                    <w:ind w:right="8"/>
                    <w:jc w:val="center"/>
                    <w:rPr>
                      <w:rFonts w:hint="default"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b/>
                      <w:bCs/>
                      <w:color w:val="000000" w:themeColor="text1"/>
                      <w:spacing w:val="0"/>
                      <w:sz w:val="21"/>
                      <w:szCs w:val="22"/>
                      <w:highlight w:val="none"/>
                      <w:vertAlign w:val="baseline"/>
                      <w:lang w:val="en-US" w:eastAsia="zh-CN"/>
                      <w14:textFill>
                        <w14:solidFill>
                          <w14:schemeClr w14:val="tx1"/>
                        </w14:solidFill>
                      </w14:textFill>
                    </w:rPr>
                    <w:t>污染物产生量</w:t>
                  </w:r>
                </w:p>
              </w:tc>
            </w:tr>
            <w:tr w14:paraId="156B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154" w:type="dxa"/>
                  <w:vMerge w:val="restart"/>
                  <w:noWrap w:val="0"/>
                  <w:vAlign w:val="center"/>
                </w:tcPr>
                <w:p w14:paraId="55526305">
                  <w:pPr>
                    <w:pStyle w:val="75"/>
                    <w:keepLines/>
                    <w:pageBreakBefore w:val="0"/>
                    <w:widowControl/>
                    <w:bidi w:val="0"/>
                    <w:spacing w:before="21" w:line="240" w:lineRule="auto"/>
                    <w:ind w:right="8"/>
                    <w:jc w:val="center"/>
                    <w:rPr>
                      <w:rFonts w:hint="default"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t>液化石油气</w:t>
                  </w:r>
                </w:p>
              </w:tc>
              <w:tc>
                <w:tcPr>
                  <w:tcW w:w="1252" w:type="dxa"/>
                  <w:noWrap w:val="0"/>
                  <w:vAlign w:val="center"/>
                </w:tcPr>
                <w:p w14:paraId="0F42D3FF">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工业废气量</w:t>
                  </w:r>
                </w:p>
              </w:tc>
              <w:tc>
                <w:tcPr>
                  <w:tcW w:w="1155" w:type="dxa"/>
                  <w:noWrap w:val="0"/>
                  <w:vAlign w:val="center"/>
                </w:tcPr>
                <w:p w14:paraId="292AC699">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t>立方米/立方米-原料</w:t>
                  </w:r>
                </w:p>
              </w:tc>
              <w:tc>
                <w:tcPr>
                  <w:tcW w:w="1218" w:type="dxa"/>
                  <w:noWrap w:val="0"/>
                  <w:vAlign w:val="center"/>
                </w:tcPr>
                <w:p w14:paraId="5F881043">
                  <w:pPr>
                    <w:pStyle w:val="75"/>
                    <w:keepLines/>
                    <w:pageBreakBefore w:val="0"/>
                    <w:widowControl/>
                    <w:bidi w:val="0"/>
                    <w:spacing w:before="21" w:line="240" w:lineRule="auto"/>
                    <w:ind w:right="8"/>
                    <w:jc w:val="center"/>
                    <w:rPr>
                      <w:rFonts w:hint="default"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t>33.4</w:t>
                  </w:r>
                </w:p>
              </w:tc>
              <w:tc>
                <w:tcPr>
                  <w:tcW w:w="1328" w:type="dxa"/>
                  <w:vMerge w:val="restart"/>
                  <w:noWrap w:val="0"/>
                  <w:vAlign w:val="center"/>
                </w:tcPr>
                <w:p w14:paraId="1C252B20">
                  <w:pPr>
                    <w:pStyle w:val="75"/>
                    <w:keepLines/>
                    <w:pageBreakBefore w:val="0"/>
                    <w:widowControl/>
                    <w:bidi w:val="0"/>
                    <w:spacing w:before="21" w:line="240" w:lineRule="auto"/>
                    <w:ind w:right="8"/>
                    <w:jc w:val="center"/>
                    <w:rPr>
                      <w:rFonts w:hint="default"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12199</w:t>
                  </w:r>
                </w:p>
              </w:tc>
              <w:tc>
                <w:tcPr>
                  <w:tcW w:w="1392" w:type="dxa"/>
                  <w:noWrap w:val="0"/>
                  <w:vAlign w:val="center"/>
                </w:tcPr>
                <w:p w14:paraId="2E6D5C4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eastAsia="宋体" w:cs="Times New Roman"/>
                      <w:i w:val="0"/>
                      <w:iCs w:val="0"/>
                      <w:color w:val="000000" w:themeColor="text1"/>
                      <w:kern w:val="2"/>
                      <w:sz w:val="21"/>
                      <w:szCs w:val="21"/>
                      <w:highlight w:val="none"/>
                      <w:u w:val="none"/>
                      <w:lang w:val="en-US" w:eastAsia="zh-CN" w:bidi="ar-SA"/>
                      <w14:textFill>
                        <w14:solidFill>
                          <w14:schemeClr w14:val="tx1"/>
                        </w14:solidFill>
                      </w14:textFill>
                    </w:rPr>
                    <w:t>407446.6</w:t>
                  </w:r>
                  <w:r>
                    <w:rPr>
                      <w:rFonts w:hint="eastAsia"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m</w:t>
                  </w:r>
                  <w:r>
                    <w:rPr>
                      <w:rFonts w:hint="eastAsia" w:ascii="Times New Roman" w:hAnsi="Times New Roman" w:eastAsia="宋体" w:cs="Times New Roman"/>
                      <w:b w:val="0"/>
                      <w:bCs w:val="0"/>
                      <w:color w:val="000000" w:themeColor="text1"/>
                      <w:spacing w:val="-4"/>
                      <w:kern w:val="2"/>
                      <w:sz w:val="21"/>
                      <w:szCs w:val="21"/>
                      <w:vertAlign w:val="superscript"/>
                      <w:lang w:val="en-US" w:eastAsia="zh-CN" w:bidi="ar-SA"/>
                      <w14:textFill>
                        <w14:solidFill>
                          <w14:schemeClr w14:val="tx1"/>
                        </w14:solidFill>
                      </w14:textFill>
                    </w:rPr>
                    <w:t>3</w:t>
                  </w:r>
                  <w:r>
                    <w:rPr>
                      <w:rFonts w:hint="eastAsia"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/a</w:t>
                  </w:r>
                </w:p>
              </w:tc>
            </w:tr>
            <w:tr w14:paraId="31D8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54" w:type="dxa"/>
                  <w:vMerge w:val="continue"/>
                  <w:noWrap w:val="0"/>
                  <w:vAlign w:val="center"/>
                </w:tcPr>
                <w:p w14:paraId="4528D488">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p>
              </w:tc>
              <w:tc>
                <w:tcPr>
                  <w:tcW w:w="1252" w:type="dxa"/>
                  <w:noWrap w:val="0"/>
                  <w:vAlign w:val="center"/>
                </w:tcPr>
                <w:p w14:paraId="788716DE">
                  <w:pPr>
                    <w:pStyle w:val="75"/>
                    <w:keepLines/>
                    <w:pageBreakBefore w:val="0"/>
                    <w:widowControl/>
                    <w:bidi w:val="0"/>
                    <w:spacing w:before="21" w:line="240" w:lineRule="auto"/>
                    <w:ind w:right="8"/>
                    <w:jc w:val="center"/>
                    <w:rPr>
                      <w:rFonts w:hint="default" w:ascii="Times New Roman" w:hAnsi="Times New Roman" w:eastAsia="宋体"/>
                      <w:color w:val="000000" w:themeColor="text1"/>
                      <w:spacing w:val="0"/>
                      <w:sz w:val="21"/>
                      <w:szCs w:val="22"/>
                      <w:highlight w:val="no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颗粒物</w:t>
                  </w:r>
                </w:p>
              </w:tc>
              <w:tc>
                <w:tcPr>
                  <w:tcW w:w="1155" w:type="dxa"/>
                  <w:noWrap w:val="0"/>
                  <w:vAlign w:val="center"/>
                </w:tcPr>
                <w:p w14:paraId="12F2C042">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t>千克/立方米-原料</w:t>
                  </w:r>
                </w:p>
              </w:tc>
              <w:tc>
                <w:tcPr>
                  <w:tcW w:w="1218" w:type="dxa"/>
                  <w:noWrap w:val="0"/>
                  <w:vAlign w:val="center"/>
                </w:tcPr>
                <w:p w14:paraId="45AC359D">
                  <w:pPr>
                    <w:pStyle w:val="75"/>
                    <w:keepLines/>
                    <w:pageBreakBefore w:val="0"/>
                    <w:widowControl/>
                    <w:bidi w:val="0"/>
                    <w:spacing w:before="21" w:line="240" w:lineRule="auto"/>
                    <w:ind w:right="8"/>
                    <w:jc w:val="center"/>
                    <w:rPr>
                      <w:rFonts w:hint="default"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t>0.00022</w:t>
                  </w:r>
                </w:p>
              </w:tc>
              <w:tc>
                <w:tcPr>
                  <w:tcW w:w="1328" w:type="dxa"/>
                  <w:vMerge w:val="continue"/>
                  <w:noWrap w:val="0"/>
                  <w:vAlign w:val="center"/>
                </w:tcPr>
                <w:p w14:paraId="72952999">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pPr>
                </w:p>
              </w:tc>
              <w:tc>
                <w:tcPr>
                  <w:tcW w:w="1392" w:type="dxa"/>
                  <w:noWrap w:val="0"/>
                  <w:vAlign w:val="center"/>
                </w:tcPr>
                <w:p w14:paraId="4BF546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0.0027</w:t>
                  </w:r>
                  <w:r>
                    <w:rPr>
                      <w:rFonts w:hint="eastAsia" w:ascii="Times New Roman" w:hAnsi="Times New Roman" w:eastAsia="宋体"/>
                      <w:b w:val="0"/>
                      <w:bCs w:val="0"/>
                      <w:color w:val="000000" w:themeColor="text1"/>
                      <w:spacing w:val="0"/>
                      <w:sz w:val="21"/>
                      <w:szCs w:val="22"/>
                      <w:highlight w:val="none"/>
                      <w:vertAlign w:val="baseline"/>
                      <w:lang w:val="en-US" w:eastAsia="zh-CN"/>
                      <w14:textFill>
                        <w14:solidFill>
                          <w14:schemeClr w14:val="tx1"/>
                        </w14:solidFill>
                      </w14:textFill>
                    </w:rPr>
                    <w:t>t/a</w:t>
                  </w:r>
                </w:p>
              </w:tc>
            </w:tr>
            <w:tr w14:paraId="7742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54" w:type="dxa"/>
                  <w:vMerge w:val="continue"/>
                  <w:noWrap w:val="0"/>
                  <w:vAlign w:val="center"/>
                </w:tcPr>
                <w:p w14:paraId="11AD21AB">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p>
              </w:tc>
              <w:tc>
                <w:tcPr>
                  <w:tcW w:w="1252" w:type="dxa"/>
                  <w:noWrap w:val="0"/>
                  <w:vAlign w:val="center"/>
                </w:tcPr>
                <w:p w14:paraId="7A8D2342">
                  <w:pPr>
                    <w:pStyle w:val="75"/>
                    <w:keepLines/>
                    <w:pageBreakBefore w:val="0"/>
                    <w:widowControl/>
                    <w:bidi w:val="0"/>
                    <w:spacing w:before="21" w:line="240" w:lineRule="auto"/>
                    <w:ind w:right="8"/>
                    <w:jc w:val="center"/>
                    <w:rPr>
                      <w:rFonts w:hint="default" w:ascii="Times New Roman" w:hAnsi="Times New Roman" w:eastAsia="宋体"/>
                      <w:color w:val="000000" w:themeColor="text1"/>
                      <w:spacing w:val="0"/>
                      <w:sz w:val="21"/>
                      <w:szCs w:val="22"/>
                      <w:highlight w:val="no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氮氧化物</w:t>
                  </w:r>
                </w:p>
              </w:tc>
              <w:tc>
                <w:tcPr>
                  <w:tcW w:w="1155" w:type="dxa"/>
                  <w:noWrap w:val="0"/>
                  <w:vAlign w:val="center"/>
                </w:tcPr>
                <w:p w14:paraId="523C6E0B">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t>千克/立方米-原料</w:t>
                  </w:r>
                </w:p>
              </w:tc>
              <w:tc>
                <w:tcPr>
                  <w:tcW w:w="1218" w:type="dxa"/>
                  <w:noWrap w:val="0"/>
                  <w:vAlign w:val="center"/>
                </w:tcPr>
                <w:p w14:paraId="4574230A">
                  <w:pPr>
                    <w:pStyle w:val="75"/>
                    <w:keepLines/>
                    <w:pageBreakBefore w:val="0"/>
                    <w:widowControl/>
                    <w:bidi w:val="0"/>
                    <w:spacing w:before="21" w:line="240" w:lineRule="auto"/>
                    <w:ind w:right="8"/>
                    <w:jc w:val="center"/>
                    <w:rPr>
                      <w:rFonts w:hint="default"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t>0.00596</w:t>
                  </w:r>
                </w:p>
              </w:tc>
              <w:tc>
                <w:tcPr>
                  <w:tcW w:w="1328" w:type="dxa"/>
                  <w:vMerge w:val="continue"/>
                  <w:noWrap w:val="0"/>
                  <w:vAlign w:val="center"/>
                </w:tcPr>
                <w:p w14:paraId="370D8497">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pPr>
                </w:p>
              </w:tc>
              <w:tc>
                <w:tcPr>
                  <w:tcW w:w="1392" w:type="dxa"/>
                  <w:noWrap w:val="0"/>
                  <w:vAlign w:val="center"/>
                </w:tcPr>
                <w:p w14:paraId="2A83754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0.072</w:t>
                  </w:r>
                  <w:r>
                    <w:rPr>
                      <w:rFonts w:hint="eastAsia" w:ascii="Times New Roman" w:hAnsi="Times New Roman" w:eastAsia="宋体"/>
                      <w:b w:val="0"/>
                      <w:bCs w:val="0"/>
                      <w:color w:val="000000" w:themeColor="text1"/>
                      <w:spacing w:val="0"/>
                      <w:sz w:val="21"/>
                      <w:szCs w:val="22"/>
                      <w:highlight w:val="none"/>
                      <w:vertAlign w:val="baseline"/>
                      <w:lang w:val="en-US" w:eastAsia="zh-CN"/>
                      <w14:textFill>
                        <w14:solidFill>
                          <w14:schemeClr w14:val="tx1"/>
                        </w14:solidFill>
                      </w14:textFill>
                    </w:rPr>
                    <w:t>t/a</w:t>
                  </w:r>
                </w:p>
              </w:tc>
            </w:tr>
            <w:tr w14:paraId="0996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54" w:type="dxa"/>
                  <w:vMerge w:val="continue"/>
                  <w:noWrap w:val="0"/>
                  <w:vAlign w:val="center"/>
                </w:tcPr>
                <w:p w14:paraId="24E5B643">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p>
              </w:tc>
              <w:tc>
                <w:tcPr>
                  <w:tcW w:w="1252" w:type="dxa"/>
                  <w:noWrap w:val="0"/>
                  <w:vAlign w:val="center"/>
                </w:tcPr>
                <w:p w14:paraId="758BB5ED">
                  <w:pPr>
                    <w:pStyle w:val="75"/>
                    <w:keepLines/>
                    <w:pageBreakBefore w:val="0"/>
                    <w:widowControl/>
                    <w:bidi w:val="0"/>
                    <w:spacing w:before="21" w:line="240" w:lineRule="auto"/>
                    <w:ind w:right="8"/>
                    <w:jc w:val="center"/>
                    <w:rPr>
                      <w:rFonts w:hint="default" w:ascii="Times New Roman" w:hAnsi="Times New Roman" w:eastAsia="宋体"/>
                      <w:color w:val="000000" w:themeColor="text1"/>
                      <w:spacing w:val="0"/>
                      <w:sz w:val="21"/>
                      <w:szCs w:val="22"/>
                      <w:highlight w:val="no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二氧化硫</w:t>
                  </w:r>
                </w:p>
              </w:tc>
              <w:tc>
                <w:tcPr>
                  <w:tcW w:w="1155" w:type="dxa"/>
                  <w:noWrap w:val="0"/>
                  <w:vAlign w:val="center"/>
                </w:tcPr>
                <w:p w14:paraId="4697E5B9">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t>千克/立方米-原料</w:t>
                  </w:r>
                </w:p>
              </w:tc>
              <w:tc>
                <w:tcPr>
                  <w:tcW w:w="1218" w:type="dxa"/>
                  <w:noWrap w:val="0"/>
                  <w:vAlign w:val="center"/>
                </w:tcPr>
                <w:p w14:paraId="087DBFAB">
                  <w:pPr>
                    <w:pStyle w:val="75"/>
                    <w:keepLines/>
                    <w:pageBreakBefore w:val="0"/>
                    <w:widowControl/>
                    <w:bidi w:val="0"/>
                    <w:spacing w:before="21" w:line="240" w:lineRule="auto"/>
                    <w:ind w:right="8"/>
                    <w:jc w:val="center"/>
                    <w:rPr>
                      <w:rFonts w:hint="default"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t>0.000002S</w:t>
                  </w:r>
                </w:p>
              </w:tc>
              <w:tc>
                <w:tcPr>
                  <w:tcW w:w="1328" w:type="dxa"/>
                  <w:vMerge w:val="continue"/>
                  <w:noWrap w:val="0"/>
                  <w:vAlign w:val="center"/>
                </w:tcPr>
                <w:p w14:paraId="28BA75E2">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pPr>
                </w:p>
              </w:tc>
              <w:tc>
                <w:tcPr>
                  <w:tcW w:w="1392" w:type="dxa"/>
                  <w:noWrap w:val="0"/>
                  <w:vAlign w:val="center"/>
                </w:tcPr>
                <w:p w14:paraId="6B4E755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8.37×</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eastAsia" w:ascii="Times New Roman" w:hAnsi="Times New Roman" w:eastAsia="宋体"/>
                      <w:b w:val="0"/>
                      <w:bCs w:val="0"/>
                      <w:color w:val="000000" w:themeColor="text1"/>
                      <w:spacing w:val="0"/>
                      <w:sz w:val="21"/>
                      <w:szCs w:val="22"/>
                      <w:highlight w:val="none"/>
                      <w:vertAlign w:val="baseline"/>
                      <w:lang w:val="en-US" w:eastAsia="zh-CN"/>
                      <w14:textFill>
                        <w14:solidFill>
                          <w14:schemeClr w14:val="tx1"/>
                        </w14:solidFill>
                      </w14:textFill>
                    </w:rPr>
                    <w:t>t/a</w:t>
                  </w:r>
                </w:p>
              </w:tc>
            </w:tr>
            <w:tr w14:paraId="398E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154" w:type="dxa"/>
                  <w:vMerge w:val="continue"/>
                  <w:noWrap w:val="0"/>
                  <w:vAlign w:val="center"/>
                </w:tcPr>
                <w:p w14:paraId="03D314E3">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vertAlign w:val="baseline"/>
                      <w:lang w:val="en-US" w:eastAsia="zh-CN"/>
                      <w14:textFill>
                        <w14:solidFill>
                          <w14:schemeClr w14:val="tx1"/>
                        </w14:solidFill>
                      </w14:textFill>
                    </w:rPr>
                  </w:pPr>
                </w:p>
              </w:tc>
              <w:tc>
                <w:tcPr>
                  <w:tcW w:w="1252" w:type="dxa"/>
                  <w:noWrap w:val="0"/>
                  <w:vAlign w:val="center"/>
                </w:tcPr>
                <w:p w14:paraId="03EA0900">
                  <w:pPr>
                    <w:pStyle w:val="75"/>
                    <w:keepLines/>
                    <w:pageBreakBefore w:val="0"/>
                    <w:widowControl/>
                    <w:bidi w:val="0"/>
                    <w:spacing w:before="21" w:line="240" w:lineRule="auto"/>
                    <w:ind w:right="8"/>
                    <w:jc w:val="cente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林格曼黑度</w:t>
                  </w:r>
                </w:p>
              </w:tc>
              <w:tc>
                <w:tcPr>
                  <w:tcW w:w="5093" w:type="dxa"/>
                  <w:gridSpan w:val="4"/>
                  <w:noWrap w:val="0"/>
                  <w:vAlign w:val="center"/>
                </w:tcPr>
                <w:p w14:paraId="0897A8BF">
                  <w:pPr>
                    <w:keepNext w:val="0"/>
                    <w:keepLines w:val="0"/>
                    <w:widowControl/>
                    <w:suppressLineNumbers w:val="0"/>
                    <w:spacing w:line="240" w:lineRule="auto"/>
                    <w:jc w:val="center"/>
                    <w:textAlignment w:val="center"/>
                    <w:rPr>
                      <w:rFonts w:hint="default"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＜1级</w:t>
                  </w:r>
                </w:p>
              </w:tc>
            </w:tr>
            <w:tr w14:paraId="2854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499" w:type="dxa"/>
                  <w:gridSpan w:val="6"/>
                  <w:noWrap w:val="0"/>
                  <w:vAlign w:val="center"/>
                </w:tcPr>
                <w:p w14:paraId="20A7EC8C">
                  <w:pPr>
                    <w:keepNext w:val="0"/>
                    <w:keepLines w:val="0"/>
                    <w:widowControl/>
                    <w:suppressLineNumbers w:val="0"/>
                    <w:spacing w:line="240" w:lineRule="auto"/>
                    <w:jc w:val="left"/>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注：本项目外购的液化</w:t>
                  </w:r>
                  <w:r>
                    <w:rPr>
                      <w:rFonts w:hint="eastAsia" w:cs="Times New Roman"/>
                      <w:b w:val="0"/>
                      <w:bCs w:val="0"/>
                      <w:color w:val="000000" w:themeColor="text1"/>
                      <w:spacing w:val="-4"/>
                      <w:kern w:val="2"/>
                      <w:sz w:val="21"/>
                      <w:szCs w:val="21"/>
                      <w:vertAlign w:val="baseline"/>
                      <w:lang w:val="en-US" w:eastAsia="zh-CN" w:bidi="ar-SA"/>
                      <w14:textFill>
                        <w14:solidFill>
                          <w14:schemeClr w14:val="tx1"/>
                        </w14:solidFill>
                      </w14:textFill>
                    </w:rPr>
                    <w:t>石油</w:t>
                  </w:r>
                  <w:r>
                    <w:rPr>
                      <w:rFonts w:hint="eastAsia"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气，根据《液化石油气国家标准》（GB 11174-2011)，S取343毫克/立方米进行计算。</w:t>
                  </w:r>
                </w:p>
              </w:tc>
            </w:tr>
          </w:tbl>
          <w:p w14:paraId="25C2772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ascii="Times New Roman" w:hAnsi="Times New Roman" w:eastAsia="宋体"/>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z w:val="21"/>
                <w:highlight w:val="none"/>
                <w14:textFill>
                  <w14:solidFill>
                    <w14:schemeClr w14:val="tx1"/>
                  </w14:solidFill>
                </w14:textFill>
              </w:rPr>
              <w:t>项目</w:t>
            </w:r>
            <w:r>
              <w:rPr>
                <w:rFonts w:ascii="Times New Roman" w:hAnsi="Times New Roman" w:eastAsia="宋体"/>
                <w:color w:val="000000" w:themeColor="text1"/>
                <w:sz w:val="21"/>
                <w:szCs w:val="21"/>
                <w:highlight w:val="none"/>
                <w14:textFill>
                  <w14:solidFill>
                    <w14:schemeClr w14:val="tx1"/>
                  </w14:solidFill>
                </w14:textFill>
              </w:rPr>
              <w:t>压铸机及</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熔炉</w:t>
            </w:r>
            <w:r>
              <w:rPr>
                <w:rFonts w:ascii="Times New Roman" w:hAnsi="Times New Roman" w:eastAsia="宋体"/>
                <w:color w:val="000000" w:themeColor="text1"/>
                <w:sz w:val="21"/>
                <w:szCs w:val="21"/>
                <w:highlight w:val="none"/>
                <w14:textFill>
                  <w14:solidFill>
                    <w14:schemeClr w14:val="tx1"/>
                  </w14:solidFill>
                </w14:textFill>
              </w:rPr>
              <w:t>产生的</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熔融</w:t>
            </w:r>
            <w:r>
              <w:rPr>
                <w:rFonts w:hint="eastAsia"/>
                <w:color w:val="000000" w:themeColor="text1"/>
                <w:sz w:val="21"/>
                <w:szCs w:val="21"/>
                <w:highlight w:val="none"/>
                <w:lang w:val="en-US" w:eastAsia="zh-CN"/>
                <w14:textFill>
                  <w14:solidFill>
                    <w14:schemeClr w14:val="tx1"/>
                  </w14:solidFill>
                </w14:textFill>
              </w:rPr>
              <w:t>废气</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、压铸废气</w:t>
            </w:r>
            <w:r>
              <w:rPr>
                <w:rFonts w:ascii="Times New Roman" w:hAnsi="Times New Roman" w:eastAsia="宋体"/>
                <w:color w:val="000000" w:themeColor="text1"/>
                <w:sz w:val="21"/>
                <w:szCs w:val="21"/>
                <w:highlight w:val="none"/>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脱模</w:t>
            </w:r>
            <w:r>
              <w:rPr>
                <w:rFonts w:ascii="Times New Roman" w:hAnsi="Times New Roman" w:eastAsia="宋体"/>
                <w:color w:val="000000" w:themeColor="text1"/>
                <w:sz w:val="21"/>
                <w:szCs w:val="21"/>
                <w:highlight w:val="none"/>
                <w14:textFill>
                  <w14:solidFill>
                    <w14:schemeClr w14:val="tx1"/>
                  </w14:solidFill>
                </w14:textFill>
              </w:rPr>
              <w:t>废气</w:t>
            </w:r>
            <w:r>
              <w:rPr>
                <w:rFonts w:hint="eastAsia" w:ascii="Times New Roman" w:hAnsi="Times New Roman" w:eastAsia="宋体"/>
                <w:color w:val="000000" w:themeColor="text1"/>
                <w:sz w:val="21"/>
                <w:highlight w:val="none"/>
                <w14:textFill>
                  <w14:solidFill>
                    <w14:schemeClr w14:val="tx1"/>
                  </w14:solidFill>
                </w14:textFill>
              </w:rPr>
              <w:t>通过设备上方设置的</w:t>
            </w:r>
            <w:r>
              <w:rPr>
                <w:rFonts w:hint="eastAsia" w:ascii="Times New Roman" w:hAnsi="Times New Roman" w:eastAsia="宋体"/>
                <w:color w:val="000000" w:themeColor="text1"/>
                <w:sz w:val="21"/>
                <w:highlight w:val="none"/>
                <w:lang w:val="en-US" w:eastAsia="zh-CN"/>
                <w14:textFill>
                  <w14:solidFill>
                    <w14:schemeClr w14:val="tx1"/>
                  </w14:solidFill>
                </w14:textFill>
              </w:rPr>
              <w:t>外部</w:t>
            </w:r>
            <w:r>
              <w:rPr>
                <w:rFonts w:hint="eastAsia" w:ascii="Times New Roman" w:hAnsi="Times New Roman" w:eastAsia="宋体"/>
                <w:color w:val="000000" w:themeColor="text1"/>
                <w:sz w:val="21"/>
                <w:highlight w:val="none"/>
                <w14:textFill>
                  <w14:solidFill>
                    <w14:schemeClr w14:val="tx1"/>
                  </w14:solidFill>
                </w14:textFill>
              </w:rPr>
              <w:t>集气罩进行收集</w:t>
            </w:r>
            <w:r>
              <w:rPr>
                <w:rFonts w:hint="eastAsia"/>
                <w:color w:val="000000" w:themeColor="text1"/>
                <w:sz w:val="21"/>
                <w:highlight w:val="none"/>
                <w:lang w:eastAsia="zh-CN"/>
                <w14:textFill>
                  <w14:solidFill>
                    <w14:schemeClr w14:val="tx1"/>
                  </w14:solidFill>
                </w14:textFill>
              </w:rPr>
              <w:t>、</w:t>
            </w:r>
            <w:r>
              <w:rPr>
                <w:rFonts w:hint="eastAsia"/>
                <w:color w:val="000000" w:themeColor="text1"/>
                <w:sz w:val="21"/>
                <w:highlight w:val="none"/>
                <w:lang w:val="en-US" w:eastAsia="zh-CN"/>
                <w14:textFill>
                  <w14:solidFill>
                    <w14:schemeClr w14:val="tx1"/>
                  </w14:solidFill>
                </w14:textFill>
              </w:rPr>
              <w:t>液化石油气燃烧废气经设备排口直连收集，</w:t>
            </w:r>
            <w:r>
              <w:rPr>
                <w:rFonts w:hint="eastAsia" w:ascii="Times New Roman" w:hAnsi="Times New Roman" w:eastAsia="宋体"/>
                <w:color w:val="000000" w:themeColor="text1"/>
                <w:sz w:val="21"/>
                <w:highlight w:val="none"/>
                <w14:textFill>
                  <w14:solidFill>
                    <w14:schemeClr w14:val="tx1"/>
                  </w14:solidFill>
                </w14:textFill>
              </w:rPr>
              <w:t>收集</w:t>
            </w:r>
            <w:r>
              <w:rPr>
                <w:rFonts w:hint="eastAsia" w:ascii="Times New Roman" w:hAnsi="Times New Roman" w:eastAsia="宋体"/>
                <w:color w:val="000000" w:themeColor="text1"/>
                <w:sz w:val="21"/>
                <w:highlight w:val="none"/>
                <w:lang w:eastAsia="zh-CN"/>
                <w14:textFill>
                  <w14:solidFill>
                    <w14:schemeClr w14:val="tx1"/>
                  </w14:solidFill>
                </w14:textFill>
              </w:rPr>
              <w:t>的</w:t>
            </w:r>
            <w:r>
              <w:rPr>
                <w:rFonts w:hint="eastAsia" w:ascii="Times New Roman" w:hAnsi="Times New Roman" w:eastAsia="宋体"/>
                <w:color w:val="000000" w:themeColor="text1"/>
                <w:sz w:val="21"/>
                <w:highlight w:val="none"/>
                <w:lang w:val="en-US" w:eastAsia="zh-CN"/>
                <w14:textFill>
                  <w14:solidFill>
                    <w14:schemeClr w14:val="tx1"/>
                  </w14:solidFill>
                </w14:textFill>
              </w:rPr>
              <w:t>废气</w:t>
            </w:r>
            <w:r>
              <w:rPr>
                <w:rFonts w:hint="eastAsia" w:ascii="Times New Roman" w:hAnsi="Times New Roman" w:eastAsia="宋体"/>
                <w:color w:val="000000" w:themeColor="text1"/>
                <w:sz w:val="21"/>
                <w:highlight w:val="none"/>
                <w14:textFill>
                  <w14:solidFill>
                    <w14:schemeClr w14:val="tx1"/>
                  </w14:solidFill>
                </w14:textFill>
              </w:rPr>
              <w:t>经水喷淋装置处理</w:t>
            </w:r>
            <w:r>
              <w:rPr>
                <w:rFonts w:hint="eastAsia" w:ascii="Times New Roman" w:hAnsi="Times New Roman" w:eastAsia="宋体"/>
                <w:color w:val="000000" w:themeColor="text1"/>
                <w:sz w:val="21"/>
                <w:highlight w:val="none"/>
                <w:lang w:val="en-US" w:eastAsia="zh-CN"/>
                <w14:textFill>
                  <w14:solidFill>
                    <w14:schemeClr w14:val="tx1"/>
                  </w14:solidFill>
                </w14:textFill>
              </w:rPr>
              <w:t>后</w:t>
            </w:r>
            <w:r>
              <w:rPr>
                <w:rFonts w:hint="eastAsia" w:ascii="Times New Roman" w:hAnsi="Times New Roman" w:eastAsia="宋体"/>
                <w:color w:val="000000" w:themeColor="text1"/>
                <w:sz w:val="21"/>
                <w:highlight w:val="none"/>
                <w14:textFill>
                  <w14:solidFill>
                    <w14:schemeClr w14:val="tx1"/>
                  </w14:solidFill>
                </w14:textFill>
              </w:rPr>
              <w:t>由</w:t>
            </w:r>
            <w:r>
              <w:rPr>
                <w:rFonts w:hint="eastAsia" w:ascii="Times New Roman" w:hAnsi="Times New Roman"/>
                <w:color w:val="000000" w:themeColor="text1"/>
                <w:sz w:val="21"/>
                <w:highlight w:val="none"/>
                <w:lang w:val="en-US" w:eastAsia="zh-CN"/>
                <w14:textFill>
                  <w14:solidFill>
                    <w14:schemeClr w14:val="tx1"/>
                  </w14:solidFill>
                </w14:textFill>
              </w:rPr>
              <w:t>1</w:t>
            </w:r>
            <w:r>
              <w:rPr>
                <w:rFonts w:hint="eastAsia" w:ascii="Times New Roman" w:hAnsi="Times New Roman" w:eastAsia="宋体"/>
                <w:color w:val="000000" w:themeColor="text1"/>
                <w:sz w:val="21"/>
                <w:highlight w:val="none"/>
                <w14:textFill>
                  <w14:solidFill>
                    <w14:schemeClr w14:val="tx1"/>
                  </w14:solidFill>
                </w14:textFill>
              </w:rPr>
              <w:t>条15m高</w:t>
            </w:r>
            <w:r>
              <w:rPr>
                <w:rFonts w:hint="eastAsia" w:ascii="Times New Roman" w:hAnsi="Times New Roman" w:eastAsia="宋体"/>
                <w:color w:val="000000" w:themeColor="text1"/>
                <w:sz w:val="21"/>
                <w:highlight w:val="none"/>
                <w:lang w:val="en-US" w:eastAsia="zh-CN"/>
                <w14:textFill>
                  <w14:solidFill>
                    <w14:schemeClr w14:val="tx1"/>
                  </w14:solidFill>
                </w14:textFill>
              </w:rPr>
              <w:t>的</w:t>
            </w:r>
            <w:r>
              <w:rPr>
                <w:rFonts w:hint="eastAsia" w:ascii="Times New Roman" w:hAnsi="Times New Roman" w:eastAsia="宋体"/>
                <w:color w:val="000000" w:themeColor="text1"/>
                <w:sz w:val="21"/>
                <w:highlight w:val="none"/>
                <w14:textFill>
                  <w14:solidFill>
                    <w14:schemeClr w14:val="tx1"/>
                  </w14:solidFill>
                </w14:textFill>
              </w:rPr>
              <w:t>排气筒</w:t>
            </w:r>
            <w:r>
              <w:rPr>
                <w:rFonts w:hint="eastAsia" w:ascii="Times New Roman" w:hAnsi="Times New Roman" w:eastAsia="宋体"/>
                <w:color w:val="000000" w:themeColor="text1"/>
                <w:sz w:val="21"/>
                <w:highlight w:val="none"/>
                <w:lang w:eastAsia="zh-CN"/>
                <w14:textFill>
                  <w14:solidFill>
                    <w14:schemeClr w14:val="tx1"/>
                  </w14:solidFill>
                </w14:textFill>
              </w:rPr>
              <w:t>（</w:t>
            </w:r>
            <w:r>
              <w:rPr>
                <w:rFonts w:hint="eastAsia" w:ascii="Times New Roman" w:hAnsi="Times New Roman" w:eastAsia="宋体"/>
                <w:color w:val="000000" w:themeColor="text1"/>
                <w:sz w:val="21"/>
                <w:highlight w:val="none"/>
                <w:lang w:val="en-US" w:eastAsia="zh-CN"/>
                <w14:textFill>
                  <w14:solidFill>
                    <w14:schemeClr w14:val="tx1"/>
                  </w14:solidFill>
                </w14:textFill>
              </w:rPr>
              <w:t>G1</w:t>
            </w:r>
            <w:r>
              <w:rPr>
                <w:rFonts w:hint="eastAsia" w:ascii="Times New Roman" w:hAnsi="Times New Roman" w:eastAsia="宋体"/>
                <w:color w:val="000000" w:themeColor="text1"/>
                <w:sz w:val="21"/>
                <w:highlight w:val="none"/>
                <w:lang w:eastAsia="zh-CN"/>
                <w14:textFill>
                  <w14:solidFill>
                    <w14:schemeClr w14:val="tx1"/>
                  </w14:solidFill>
                </w14:textFill>
              </w:rPr>
              <w:t>）</w:t>
            </w:r>
            <w:r>
              <w:rPr>
                <w:rFonts w:hint="eastAsia" w:ascii="Times New Roman" w:hAnsi="Times New Roman" w:eastAsia="宋体"/>
                <w:color w:val="000000" w:themeColor="text1"/>
                <w:sz w:val="21"/>
                <w:highlight w:val="none"/>
                <w14:textFill>
                  <w14:solidFill>
                    <w14:schemeClr w14:val="tx1"/>
                  </w14:solidFill>
                </w14:textFill>
              </w:rPr>
              <w:t>排放</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w:t>
            </w:r>
            <w:r>
              <w:rPr>
                <w:rFonts w:hint="eastAsia" w:ascii="Times New Roman" w:hAnsi="Times New Roman" w:eastAsia="宋体"/>
                <w:color w:val="000000" w:themeColor="text1"/>
                <w:spacing w:val="0"/>
                <w:sz w:val="21"/>
                <w:szCs w:val="22"/>
                <w:highlight w:val="none"/>
                <w14:textFill>
                  <w14:solidFill>
                    <w14:schemeClr w14:val="tx1"/>
                  </w14:solidFill>
                </w14:textFill>
              </w:rPr>
              <w:t>根据</w:t>
            </w:r>
            <w:r>
              <w:rPr>
                <w:rFonts w:hint="eastAsia" w:ascii="Times New Roman" w:hAnsi="Times New Roman"/>
                <w:color w:val="000000" w:themeColor="text1"/>
                <w:spacing w:val="0"/>
                <w:sz w:val="21"/>
                <w:szCs w:val="22"/>
                <w:highlight w:val="none"/>
                <w:lang w:val="en-US" w:eastAsia="zh-CN"/>
                <w14:textFill>
                  <w14:solidFill>
                    <w14:schemeClr w14:val="tx1"/>
                  </w14:solidFill>
                </w14:textFill>
              </w:rPr>
              <w:t>经验</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熔融、压铸废气和脱模</w:t>
            </w:r>
            <w:r>
              <w:rPr>
                <w:rFonts w:ascii="Times New Roman" w:hAnsi="Times New Roman" w:eastAsia="宋体"/>
                <w:color w:val="000000" w:themeColor="text1"/>
                <w:sz w:val="21"/>
                <w:szCs w:val="21"/>
                <w:highlight w:val="none"/>
                <w14:textFill>
                  <w14:solidFill>
                    <w14:schemeClr w14:val="tx1"/>
                  </w14:solidFill>
                </w14:textFill>
              </w:rPr>
              <w:t>有机废气</w:t>
            </w:r>
            <w:r>
              <w:rPr>
                <w:rFonts w:hint="eastAsia"/>
                <w:color w:val="000000" w:themeColor="text1"/>
                <w:sz w:val="21"/>
                <w:szCs w:val="21"/>
                <w:highlight w:val="none"/>
                <w:lang w:val="en-US" w:eastAsia="zh-CN"/>
                <w14:textFill>
                  <w14:solidFill>
                    <w14:schemeClr w14:val="tx1"/>
                  </w14:solidFill>
                </w14:textFill>
              </w:rPr>
              <w:t>集气罩</w:t>
            </w:r>
            <w:r>
              <w:rPr>
                <w:rFonts w:ascii="Times New Roman" w:hAnsi="Times New Roman" w:eastAsia="宋体"/>
                <w:color w:val="000000" w:themeColor="text1"/>
                <w:sz w:val="21"/>
                <w:szCs w:val="21"/>
                <w:highlight w:val="none"/>
                <w14:textFill>
                  <w14:solidFill>
                    <w14:schemeClr w14:val="tx1"/>
                  </w14:solidFill>
                </w14:textFill>
              </w:rPr>
              <w:t>收集效率为</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30</w:t>
            </w:r>
            <w:r>
              <w:rPr>
                <w:rFonts w:ascii="Times New Roman" w:hAnsi="Times New Roman" w:eastAsia="宋体"/>
                <w:color w:val="000000" w:themeColor="text1"/>
                <w:sz w:val="21"/>
                <w:szCs w:val="21"/>
                <w:highlight w:val="none"/>
                <w14:textFill>
                  <w14:solidFill>
                    <w14:schemeClr w14:val="tx1"/>
                  </w14:solidFill>
                </w14:textFill>
              </w:rPr>
              <w:t>%</w:t>
            </w:r>
            <w:r>
              <w:rPr>
                <w:rFonts w:hint="eastAsia" w:ascii="Times New Roman" w:hAnsi="Times New Roman" w:eastAsia="宋体"/>
                <w:color w:val="000000" w:themeColor="text1"/>
                <w:sz w:val="21"/>
                <w:szCs w:val="21"/>
                <w:highlight w:val="none"/>
                <w:lang w:eastAsia="zh-CN"/>
                <w14:textFill>
                  <w14:solidFill>
                    <w14:schemeClr w14:val="tx1"/>
                  </w14:solidFill>
                </w14:textFill>
              </w:rPr>
              <w:t>，</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参考</w:t>
            </w:r>
            <w:r>
              <w:rPr>
                <w:rFonts w:hint="eastAsia" w:ascii="Times New Roman" w:hAnsi="Times New Roman" w:eastAsia="宋体"/>
                <w:color w:val="000000" w:themeColor="text1"/>
                <w:spacing w:val="0"/>
                <w:sz w:val="21"/>
                <w:szCs w:val="22"/>
                <w:highlight w:val="none"/>
                <w14:textFill>
                  <w14:solidFill>
                    <w14:schemeClr w14:val="tx1"/>
                  </w14:solidFill>
                </w14:textFill>
              </w:rPr>
              <w:t>《广东省工业源挥发性有机物减排量核算方法》（2023年修订版）</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并结合项目实际情况，液化石油气</w:t>
            </w:r>
            <w:r>
              <w:rPr>
                <w:rFonts w:hint="eastAsia" w:ascii="Times New Roman" w:hAnsi="Times New Roman" w:eastAsia="宋体"/>
                <w:color w:val="000000" w:themeColor="text1"/>
                <w:spacing w:val="0"/>
                <w:sz w:val="21"/>
                <w:szCs w:val="22"/>
                <w:highlight w:val="none"/>
                <w14:textFill>
                  <w14:solidFill>
                    <w14:schemeClr w14:val="tx1"/>
                  </w14:solidFill>
                </w14:textFill>
              </w:rPr>
              <w:t>燃烧废气收集效率为</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90</w:t>
            </w:r>
            <w:r>
              <w:rPr>
                <w:rFonts w:hint="eastAsia" w:ascii="Times New Roman" w:hAnsi="Times New Roman" w:eastAsia="宋体"/>
                <w:color w:val="000000" w:themeColor="text1"/>
                <w:spacing w:val="0"/>
                <w:sz w:val="21"/>
                <w:szCs w:val="22"/>
                <w:highlight w:val="none"/>
                <w14:textFill>
                  <w14:solidFill>
                    <w14:schemeClr w14:val="tx1"/>
                  </w14:solidFill>
                </w14:textFill>
              </w:rPr>
              <w:t>%</w:t>
            </w:r>
            <w:r>
              <w:rPr>
                <w:rFonts w:hint="eastAsia" w:ascii="Times New Roman" w:hAnsi="Times New Roman" w:eastAsia="宋体"/>
                <w:color w:val="000000" w:themeColor="text1"/>
                <w:spacing w:val="0"/>
                <w:sz w:val="21"/>
                <w:szCs w:val="22"/>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参照《排放源统计调查产排污核算方法和系数手册》中“机械行业系数手册-33金属制品业行业系数手册”-铸造-铸件-铝锭-熔炼（燃气炉）中末端治理技术为喷淋塔/冲击水浴，治理效率为85%，本次评价，</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水喷淋对</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颗粒物处理效率取80%</w:t>
            </w:r>
            <w:r>
              <w:rPr>
                <w:rFonts w:ascii="Times New Roman" w:hAnsi="Times New Roman" w:eastAsia="宋体"/>
                <w:color w:val="000000" w:themeColor="text1"/>
                <w:sz w:val="21"/>
                <w:szCs w:val="21"/>
                <w:highlight w:val="none"/>
                <w14:textFill>
                  <w14:solidFill>
                    <w14:schemeClr w14:val="tx1"/>
                  </w14:solidFill>
                </w14:textFill>
              </w:rPr>
              <w:t>。</w:t>
            </w:r>
          </w:p>
          <w:p w14:paraId="33BF0451">
            <w:pPr>
              <w:pStyle w:val="75"/>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风量设计分析：</w:t>
            </w:r>
          </w:p>
          <w:p w14:paraId="3C8D0EC8">
            <w:pPr>
              <w:pStyle w:val="75"/>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参考《三废处理工程技术手册》（废气卷），进出口集气罩设计风量参考以下公式进行计算 ：</w:t>
            </w:r>
          </w:p>
          <w:p w14:paraId="0F5DA8CC">
            <w:pPr>
              <w:pStyle w:val="75"/>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Q=0.75（10*X</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+A）*Vx</w:t>
            </w:r>
          </w:p>
          <w:p w14:paraId="410BEEBB">
            <w:pPr>
              <w:pStyle w:val="75"/>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式中：Q—集气罩排风量，m</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/s；</w:t>
            </w:r>
          </w:p>
          <w:p w14:paraId="6ED3F678">
            <w:pPr>
              <w:pStyle w:val="75"/>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A—罩口面积，拟设在熔炉和压铸机上方设集气罩，</w:t>
            </w:r>
            <w:r>
              <w:rPr>
                <w:rFonts w:hint="default" w:ascii="Times New Roman" w:hAnsi="Times New Roman" w:cs="Times New Roman"/>
                <w:color w:val="000000" w:themeColor="text1"/>
                <w:sz w:val="21"/>
                <w:szCs w:val="21"/>
                <w:lang w:val="en-US" w:eastAsia="zh-CN"/>
                <w14:textFill>
                  <w14:solidFill>
                    <w14:schemeClr w14:val="tx1"/>
                  </w14:solidFill>
                </w14:textFill>
              </w:rPr>
              <w:t>压铸机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每个罩口面积约为</w:t>
            </w:r>
            <w:r>
              <w:rPr>
                <w:rFonts w:hint="default" w:ascii="Times New Roman" w:hAnsi="Times New Roman" w:cs="Times New Roman"/>
                <w:color w:val="000000" w:themeColor="text1"/>
                <w:sz w:val="21"/>
                <w:szCs w:val="21"/>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、熔炉每个罩口面积约为0.4㎡。</w:t>
            </w:r>
          </w:p>
          <w:p w14:paraId="085C7F03">
            <w:pPr>
              <w:pStyle w:val="75"/>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X－污染物产生点到罩口的距离，取值0.</w:t>
            </w:r>
            <w:r>
              <w:rPr>
                <w:rFonts w:hint="default" w:ascii="Times New Roman" w:hAnsi="Times New Roman"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p>
          <w:p w14:paraId="50E5619F">
            <w:pPr>
              <w:pStyle w:val="75"/>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Vx—罩口平均风速，取值</w:t>
            </w:r>
            <w:r>
              <w:rPr>
                <w:rFonts w:hint="default" w:ascii="Times New Roman" w:hAnsi="Times New Roman" w:cs="Times New Roman"/>
                <w:color w:val="000000" w:themeColor="text1"/>
                <w:sz w:val="21"/>
                <w:szCs w:val="21"/>
                <w:lang w:val="en-US" w:eastAsia="zh-CN"/>
                <w14:textFill>
                  <w14:solidFill>
                    <w14:schemeClr w14:val="tx1"/>
                  </w14:solidFill>
                </w14:textFill>
              </w:rPr>
              <w:t>0.4</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m/s。</w:t>
            </w:r>
          </w:p>
          <w:p w14:paraId="181032A3">
            <w:pPr>
              <w:pStyle w:val="75"/>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outlineLvl w:val="9"/>
              <w:rPr>
                <w:rFonts w:hint="default" w:ascii="Times New Roman" w:hAnsi="Times New Roman" w:eastAsia="宋体" w:cs="Times New Roman"/>
                <w:b/>
                <w:bCs/>
                <w:color w:val="000000" w:themeColor="text1"/>
                <w:spacing w:val="-4"/>
                <w:kern w:val="2"/>
                <w:sz w:val="24"/>
                <w:szCs w:val="24"/>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pacing w:val="-4"/>
                <w:kern w:val="2"/>
                <w:sz w:val="24"/>
                <w:szCs w:val="24"/>
                <w:vertAlign w:val="baseline"/>
                <w:lang w:val="en-US" w:eastAsia="zh-CN" w:bidi="ar-SA"/>
                <w14:textFill>
                  <w14:solidFill>
                    <w14:schemeClr w14:val="tx1"/>
                  </w14:solidFill>
                </w14:textFill>
              </w:rPr>
              <w:t>表</w:t>
            </w:r>
            <w:r>
              <w:rPr>
                <w:rFonts w:hint="eastAsia" w:ascii="Times New Roman" w:hAnsi="Times New Roman" w:cs="Times New Roman"/>
                <w:b/>
                <w:bCs/>
                <w:color w:val="000000" w:themeColor="text1"/>
                <w:spacing w:val="-4"/>
                <w:kern w:val="2"/>
                <w:sz w:val="24"/>
                <w:szCs w:val="24"/>
                <w:vertAlign w:val="baseline"/>
                <w:lang w:val="en-US" w:eastAsia="zh-CN" w:bidi="ar-SA"/>
                <w14:textFill>
                  <w14:solidFill>
                    <w14:schemeClr w14:val="tx1"/>
                  </w14:solidFill>
                </w14:textFill>
              </w:rPr>
              <w:t>21</w:t>
            </w:r>
            <w:r>
              <w:rPr>
                <w:rFonts w:hint="default" w:ascii="Times New Roman" w:hAnsi="Times New Roman" w:eastAsia="宋体" w:cs="Times New Roman"/>
                <w:b/>
                <w:bCs/>
                <w:color w:val="000000" w:themeColor="text1"/>
                <w:spacing w:val="-4"/>
                <w:kern w:val="2"/>
                <w:sz w:val="24"/>
                <w:szCs w:val="24"/>
                <w:vertAlign w:val="baseline"/>
                <w:lang w:val="en-US" w:eastAsia="zh-CN" w:bidi="ar-SA"/>
                <w14:textFill>
                  <w14:solidFill>
                    <w14:schemeClr w14:val="tx1"/>
                  </w14:solidFill>
                </w14:textFill>
              </w:rPr>
              <w:t>项目收集风量及设计风量情况一览表</w:t>
            </w:r>
          </w:p>
          <w:tbl>
            <w:tblPr>
              <w:tblStyle w:val="89"/>
              <w:tblW w:w="807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38"/>
              <w:gridCol w:w="1080"/>
              <w:gridCol w:w="1729"/>
              <w:gridCol w:w="931"/>
              <w:gridCol w:w="1117"/>
              <w:gridCol w:w="1227"/>
              <w:gridCol w:w="957"/>
            </w:tblGrid>
            <w:tr w14:paraId="0129D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jc w:val="center"/>
              </w:trPr>
              <w:tc>
                <w:tcPr>
                  <w:tcW w:w="1038" w:type="dxa"/>
                  <w:vAlign w:val="center"/>
                </w:tcPr>
                <w:p w14:paraId="0F86A71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项目</w:t>
                  </w:r>
                </w:p>
              </w:tc>
              <w:tc>
                <w:tcPr>
                  <w:tcW w:w="1080" w:type="dxa"/>
                  <w:vAlign w:val="center"/>
                </w:tcPr>
                <w:p w14:paraId="4685ACE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收集</w:t>
                  </w:r>
                </w:p>
                <w:p w14:paraId="32D87AF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措施</w:t>
                  </w:r>
                </w:p>
              </w:tc>
              <w:tc>
                <w:tcPr>
                  <w:tcW w:w="1729" w:type="dxa"/>
                  <w:vAlign w:val="center"/>
                </w:tcPr>
                <w:p w14:paraId="0D9EAFD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尺寸</w:t>
                  </w:r>
                </w:p>
              </w:tc>
              <w:tc>
                <w:tcPr>
                  <w:tcW w:w="931" w:type="dxa"/>
                  <w:vAlign w:val="center"/>
                </w:tcPr>
                <w:p w14:paraId="69986D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数量</w:t>
                  </w:r>
                </w:p>
                <w:p w14:paraId="4B9BE8E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（个）</w:t>
                  </w:r>
                </w:p>
              </w:tc>
              <w:tc>
                <w:tcPr>
                  <w:tcW w:w="1117" w:type="dxa"/>
                  <w:vAlign w:val="center"/>
                </w:tcPr>
                <w:p w14:paraId="58E8AEE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换气</w:t>
                  </w:r>
                </w:p>
                <w:p w14:paraId="7231035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次数</w:t>
                  </w:r>
                </w:p>
              </w:tc>
              <w:tc>
                <w:tcPr>
                  <w:tcW w:w="1227" w:type="dxa"/>
                  <w:vAlign w:val="center"/>
                </w:tcPr>
                <w:p w14:paraId="065F649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所需风量m³/h</w:t>
                  </w:r>
                </w:p>
              </w:tc>
              <w:tc>
                <w:tcPr>
                  <w:tcW w:w="957" w:type="dxa"/>
                  <w:tcBorders>
                    <w:bottom w:val="single" w:color="auto" w:sz="4" w:space="0"/>
                  </w:tcBorders>
                  <w:vAlign w:val="center"/>
                </w:tcPr>
                <w:p w14:paraId="09D3797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设计风量 m³/h</w:t>
                  </w:r>
                </w:p>
              </w:tc>
            </w:tr>
            <w:tr w14:paraId="38AC8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jc w:val="center"/>
              </w:trPr>
              <w:tc>
                <w:tcPr>
                  <w:tcW w:w="1038" w:type="dxa"/>
                  <w:vMerge w:val="restart"/>
                  <w:vAlign w:val="center"/>
                </w:tcPr>
                <w:p w14:paraId="73F59AF3">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压铸、熔融、脱</w:t>
                  </w:r>
                  <w:r>
                    <w:rPr>
                      <w:rFonts w:hint="eastAsia" w:ascii="Times New Roman" w:hAnsi="Times New Roman" w:cs="Times New Roman"/>
                      <w:color w:val="000000" w:themeColor="text1"/>
                      <w:sz w:val="21"/>
                      <w:szCs w:val="21"/>
                      <w:lang w:val="en-US" w:eastAsia="zh-CN"/>
                      <w14:textFill>
                        <w14:solidFill>
                          <w14:schemeClr w14:val="tx1"/>
                        </w14:solidFill>
                      </w14:textFill>
                    </w:rPr>
                    <w:t>模</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p w14:paraId="4825E4A7">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4"/>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lang w:val="en-US" w:eastAsia="zh-CN"/>
                      <w14:textFill>
                        <w14:solidFill>
                          <w14:schemeClr w14:val="tx1"/>
                        </w14:solidFill>
                      </w14:textFill>
                    </w:rPr>
                    <w:t>液化石油气燃烧废气</w:t>
                  </w:r>
                </w:p>
              </w:tc>
              <w:tc>
                <w:tcPr>
                  <w:tcW w:w="1080" w:type="dxa"/>
                  <w:vAlign w:val="center"/>
                </w:tcPr>
                <w:p w14:paraId="2295780F">
                  <w:pPr>
                    <w:pStyle w:val="75"/>
                    <w:spacing w:before="40" w:line="218" w:lineRule="auto"/>
                    <w:ind w:left="116"/>
                    <w:jc w:val="center"/>
                    <w:rPr>
                      <w:rFonts w:hint="default" w:ascii="Times New Roman" w:hAnsi="Times New Roman" w:eastAsia="宋体" w:cs="Times New Roman"/>
                      <w:color w:val="000000" w:themeColor="text1"/>
                      <w:spacing w:val="4"/>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4"/>
                      <w:sz w:val="21"/>
                      <w:szCs w:val="21"/>
                      <w:lang w:val="en-US" w:eastAsia="zh-CN"/>
                      <w14:textFill>
                        <w14:solidFill>
                          <w14:schemeClr w14:val="tx1"/>
                        </w14:solidFill>
                      </w14:textFill>
                    </w:rPr>
                    <w:t>集气罩</w:t>
                  </w:r>
                </w:p>
              </w:tc>
              <w:tc>
                <w:tcPr>
                  <w:tcW w:w="3777" w:type="dxa"/>
                  <w:gridSpan w:val="3"/>
                  <w:vAlign w:val="center"/>
                </w:tcPr>
                <w:p w14:paraId="290B354E">
                  <w:pPr>
                    <w:tabs>
                      <w:tab w:val="center" w:pos="1886"/>
                    </w:tabs>
                    <w:jc w:val="lef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项目5台</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压铸机、</w:t>
                  </w:r>
                  <w:r>
                    <w:rPr>
                      <w:rFonts w:hint="eastAsia" w:cs="Times New Roman"/>
                      <w:color w:val="000000" w:themeColor="text1"/>
                      <w:sz w:val="21"/>
                      <w:szCs w:val="21"/>
                      <w:lang w:val="en-US" w:eastAsia="zh-CN"/>
                      <w14:textFill>
                        <w14:solidFill>
                          <w14:schemeClr w14:val="tx1"/>
                        </w14:solidFill>
                      </w14:textFill>
                    </w:rPr>
                    <w:t>5台</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熔炉</w:t>
                  </w:r>
                  <w:r>
                    <w:rPr>
                      <w:rFonts w:hint="eastAsia"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共设</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个集气罩，则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压铸机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风量=0.75（10×0.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0.4</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×3600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8100</w:t>
                  </w:r>
                  <w:r>
                    <w:rPr>
                      <w:rFonts w:hint="default"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m</w:t>
                  </w:r>
                  <w:r>
                    <w:rPr>
                      <w:rFonts w:hint="default" w:ascii="Times New Roman" w:hAnsi="Times New Roman" w:eastAsia="宋体" w:cs="Times New Roman"/>
                      <w:b w:val="0"/>
                      <w:bCs w:val="0"/>
                      <w:color w:val="000000" w:themeColor="text1"/>
                      <w:spacing w:val="-4"/>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/h</w:t>
                  </w:r>
                  <w:r>
                    <w:rPr>
                      <w:rFonts w:hint="eastAsia"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熔炉</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风量</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0.75（10×0.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0.4</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0.4</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×3600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4860</w:t>
                  </w:r>
                  <w:r>
                    <w:rPr>
                      <w:rFonts w:hint="default"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m</w:t>
                  </w:r>
                  <w:r>
                    <w:rPr>
                      <w:rFonts w:hint="default" w:ascii="Times New Roman" w:hAnsi="Times New Roman" w:eastAsia="宋体" w:cs="Times New Roman"/>
                      <w:b w:val="0"/>
                      <w:bCs w:val="0"/>
                      <w:color w:val="000000" w:themeColor="text1"/>
                      <w:spacing w:val="-4"/>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/h</w:t>
                  </w:r>
                  <w:r>
                    <w:rPr>
                      <w:rFonts w:hint="eastAsia"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w:t>
                  </w:r>
                </w:p>
              </w:tc>
              <w:tc>
                <w:tcPr>
                  <w:tcW w:w="1227" w:type="dxa"/>
                  <w:tcBorders>
                    <w:right w:val="single" w:color="auto" w:sz="4" w:space="0"/>
                  </w:tcBorders>
                  <w:vAlign w:val="center"/>
                </w:tcPr>
                <w:p w14:paraId="57DB72A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12960</w:t>
                  </w:r>
                </w:p>
              </w:tc>
              <w:tc>
                <w:tcPr>
                  <w:tcW w:w="957" w:type="dxa"/>
                  <w:vMerge w:val="restart"/>
                  <w:tcBorders>
                    <w:top w:val="single" w:color="auto" w:sz="4" w:space="0"/>
                    <w:left w:val="single" w:color="auto" w:sz="4" w:space="0"/>
                    <w:right w:val="single" w:color="auto" w:sz="4" w:space="0"/>
                  </w:tcBorders>
                  <w:vAlign w:val="center"/>
                </w:tcPr>
                <w:p w14:paraId="6A51083B">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15000</w:t>
                  </w:r>
                </w:p>
              </w:tc>
            </w:tr>
            <w:tr w14:paraId="7C84D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jc w:val="center"/>
              </w:trPr>
              <w:tc>
                <w:tcPr>
                  <w:tcW w:w="1038" w:type="dxa"/>
                  <w:vMerge w:val="continue"/>
                  <w:vAlign w:val="center"/>
                </w:tcPr>
                <w:p w14:paraId="5AC1C371">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4"/>
                      <w:sz w:val="21"/>
                      <w:szCs w:val="21"/>
                      <w:lang w:val="en-US" w:eastAsia="zh-CN"/>
                      <w14:textFill>
                        <w14:solidFill>
                          <w14:schemeClr w14:val="tx1"/>
                        </w14:solidFill>
                      </w14:textFill>
                    </w:rPr>
                  </w:pPr>
                </w:p>
              </w:tc>
              <w:tc>
                <w:tcPr>
                  <w:tcW w:w="4857" w:type="dxa"/>
                  <w:gridSpan w:val="4"/>
                  <w:vAlign w:val="center"/>
                </w:tcPr>
                <w:p w14:paraId="0E403DF2">
                  <w:pPr>
                    <w:pStyle w:val="75"/>
                    <w:spacing w:before="40" w:line="218" w:lineRule="auto"/>
                    <w:ind w:left="105"/>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液化石油气燃烧废气量为</w:t>
                  </w:r>
                  <w:r>
                    <w:rPr>
                      <w:rFonts w:hint="default"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407446.6m</w:t>
                  </w:r>
                  <w:r>
                    <w:rPr>
                      <w:rFonts w:hint="default" w:ascii="Times New Roman" w:hAnsi="Times New Roman" w:eastAsia="宋体" w:cs="Times New Roman"/>
                      <w:b w:val="0"/>
                      <w:bCs w:val="0"/>
                      <w:color w:val="000000" w:themeColor="text1"/>
                      <w:spacing w:val="-4"/>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/a，则排风量为1</w:t>
                  </w:r>
                  <w:r>
                    <w:rPr>
                      <w:rFonts w:hint="eastAsia" w:ascii="Times New Roman" w:hAnsi="Times New Roman" w:cs="Times New Roman"/>
                      <w:b w:val="0"/>
                      <w:bCs w:val="0"/>
                      <w:color w:val="000000" w:themeColor="text1"/>
                      <w:spacing w:val="-4"/>
                      <w:kern w:val="2"/>
                      <w:sz w:val="21"/>
                      <w:szCs w:val="21"/>
                      <w:vertAlign w:val="baseline"/>
                      <w:lang w:val="en-US" w:eastAsia="zh-CN" w:bidi="ar-SA"/>
                      <w14:textFill>
                        <w14:solidFill>
                          <w14:schemeClr w14:val="tx1"/>
                        </w14:solidFill>
                      </w14:textFill>
                    </w:rPr>
                    <w:t>69.8</w:t>
                  </w:r>
                  <w:r>
                    <w:rPr>
                      <w:rFonts w:hint="default"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m</w:t>
                  </w:r>
                  <w:r>
                    <w:rPr>
                      <w:rFonts w:hint="default" w:ascii="Times New Roman" w:hAnsi="Times New Roman" w:eastAsia="宋体" w:cs="Times New Roman"/>
                      <w:b w:val="0"/>
                      <w:bCs w:val="0"/>
                      <w:color w:val="000000" w:themeColor="text1"/>
                      <w:spacing w:val="-4"/>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spacing w:val="-4"/>
                      <w:kern w:val="2"/>
                      <w:sz w:val="21"/>
                      <w:szCs w:val="21"/>
                      <w:vertAlign w:val="baseline"/>
                      <w:lang w:val="en-US" w:eastAsia="zh-CN" w:bidi="ar-SA"/>
                      <w14:textFill>
                        <w14:solidFill>
                          <w14:schemeClr w14:val="tx1"/>
                        </w14:solidFill>
                      </w14:textFill>
                    </w:rPr>
                    <w:t>/h。</w:t>
                  </w:r>
                </w:p>
              </w:tc>
              <w:tc>
                <w:tcPr>
                  <w:tcW w:w="1227" w:type="dxa"/>
                  <w:tcBorders>
                    <w:right w:val="single" w:color="auto" w:sz="4" w:space="0"/>
                  </w:tcBorders>
                  <w:vAlign w:val="center"/>
                </w:tcPr>
                <w:p w14:paraId="4CDA7E0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69.8</w:t>
                  </w:r>
                </w:p>
              </w:tc>
              <w:tc>
                <w:tcPr>
                  <w:tcW w:w="957" w:type="dxa"/>
                  <w:vMerge w:val="continue"/>
                  <w:tcBorders>
                    <w:left w:val="single" w:color="auto" w:sz="4" w:space="0"/>
                    <w:right w:val="single" w:color="auto" w:sz="4" w:space="0"/>
                  </w:tcBorders>
                  <w:vAlign w:val="top"/>
                </w:tcPr>
                <w:p w14:paraId="1677AB4F">
                  <w:pPr>
                    <w:rPr>
                      <w:rFonts w:hint="default" w:ascii="Times New Roman" w:hAnsi="Times New Roman" w:eastAsia="宋体" w:cs="Times New Roman"/>
                      <w:color w:val="000000" w:themeColor="text1"/>
                      <w:sz w:val="21"/>
                      <w:szCs w:val="21"/>
                      <w14:textFill>
                        <w14:solidFill>
                          <w14:schemeClr w14:val="tx1"/>
                        </w14:solidFill>
                      </w14:textFill>
                    </w:rPr>
                  </w:pPr>
                </w:p>
              </w:tc>
            </w:tr>
            <w:tr w14:paraId="29B78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5895" w:type="dxa"/>
                  <w:gridSpan w:val="5"/>
                  <w:vAlign w:val="center"/>
                </w:tcPr>
                <w:p w14:paraId="76902159">
                  <w:pPr>
                    <w:pStyle w:val="75"/>
                    <w:spacing w:before="41" w:line="221" w:lineRule="auto"/>
                    <w:ind w:left="2647"/>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pacing w:val="3"/>
                      <w:sz w:val="21"/>
                      <w:szCs w:val="21"/>
                      <w14:textFill>
                        <w14:solidFill>
                          <w14:schemeClr w14:val="tx1"/>
                        </w14:solidFill>
                      </w14:textFill>
                    </w:rPr>
                    <w:t>合计</w:t>
                  </w:r>
                </w:p>
              </w:tc>
              <w:tc>
                <w:tcPr>
                  <w:tcW w:w="1227" w:type="dxa"/>
                  <w:tcBorders>
                    <w:right w:val="single" w:color="auto" w:sz="4" w:space="0"/>
                  </w:tcBorders>
                  <w:vAlign w:val="center"/>
                </w:tcPr>
                <w:p w14:paraId="08D3DFB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13129.8</w:t>
                  </w:r>
                </w:p>
              </w:tc>
              <w:tc>
                <w:tcPr>
                  <w:tcW w:w="957" w:type="dxa"/>
                  <w:vMerge w:val="continue"/>
                  <w:tcBorders>
                    <w:left w:val="single" w:color="auto" w:sz="4" w:space="0"/>
                    <w:bottom w:val="single" w:color="auto" w:sz="4" w:space="0"/>
                    <w:right w:val="single" w:color="auto" w:sz="4" w:space="0"/>
                  </w:tcBorders>
                  <w:vAlign w:val="top"/>
                </w:tcPr>
                <w:p w14:paraId="47C44BA9">
                  <w:pPr>
                    <w:rPr>
                      <w:rFonts w:hint="default" w:ascii="Times New Roman" w:hAnsi="Times New Roman" w:eastAsia="宋体" w:cs="Times New Roman"/>
                      <w:color w:val="000000" w:themeColor="text1"/>
                      <w:sz w:val="21"/>
                      <w:szCs w:val="21"/>
                      <w14:textFill>
                        <w14:solidFill>
                          <w14:schemeClr w14:val="tx1"/>
                        </w14:solidFill>
                      </w14:textFill>
                    </w:rPr>
                  </w:pPr>
                </w:p>
              </w:tc>
            </w:tr>
          </w:tbl>
          <w:p w14:paraId="0CFB8965">
            <w:pPr>
              <w:pStyle w:val="19"/>
              <w:shd w:val="clear"/>
              <w:spacing w:before="0" w:line="360" w:lineRule="auto"/>
              <w:ind w:left="0" w:firstLine="482" w:firstLineChars="200"/>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w:t>
            </w:r>
            <w:r>
              <w:rPr>
                <w:rFonts w:hint="eastAsia" w:cs="Times New Roman"/>
                <w:b/>
                <w:bCs/>
                <w:color w:val="000000" w:themeColor="text1"/>
                <w:sz w:val="24"/>
                <w:szCs w:val="24"/>
                <w:highlight w:val="none"/>
                <w:lang w:val="en-US" w:eastAsia="zh-CN"/>
                <w14:textFill>
                  <w14:solidFill>
                    <w14:schemeClr w14:val="tx1"/>
                  </w14:solidFill>
                </w14:textFill>
              </w:rPr>
              <w:t>22</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项目</w:t>
            </w:r>
            <w:r>
              <w:rPr>
                <w:rFonts w:hint="eastAsia" w:cs="Times New Roman"/>
                <w:b/>
                <w:bCs/>
                <w:color w:val="000000" w:themeColor="text1"/>
                <w:sz w:val="24"/>
                <w:szCs w:val="24"/>
                <w:highlight w:val="none"/>
                <w:lang w:val="en-US" w:eastAsia="zh-CN"/>
                <w14:textFill>
                  <w14:solidFill>
                    <w14:schemeClr w14:val="tx1"/>
                  </w14:solidFill>
                </w14:textFill>
              </w:rPr>
              <w:t>G1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废气产排一览表</w:t>
            </w:r>
          </w:p>
          <w:tbl>
            <w:tblPr>
              <w:tblStyle w:val="33"/>
              <w:tblW w:w="77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
              <w:gridCol w:w="1219"/>
              <w:gridCol w:w="1185"/>
              <w:gridCol w:w="1240"/>
              <w:gridCol w:w="1040"/>
              <w:gridCol w:w="1322"/>
              <w:gridCol w:w="5"/>
              <w:gridCol w:w="1319"/>
            </w:tblGrid>
            <w:tr w14:paraId="3B5BD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B657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排气筒</w:t>
                  </w:r>
                </w:p>
              </w:tc>
              <w:tc>
                <w:tcPr>
                  <w:tcW w:w="611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56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G1</w:t>
                  </w:r>
                </w:p>
              </w:tc>
            </w:tr>
            <w:tr w14:paraId="64614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 w:hRule="atLeast"/>
                <w:jc w:val="center"/>
              </w:trPr>
              <w:tc>
                <w:tcPr>
                  <w:tcW w:w="16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9A4F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产生工序</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F94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脱</w:t>
                  </w:r>
                  <w:r>
                    <w:rPr>
                      <w:rFonts w:hint="eastAsia" w:cs="Times New Roman"/>
                      <w:i w:val="0"/>
                      <w:iCs w:val="0"/>
                      <w:color w:val="000000" w:themeColor="text1"/>
                      <w:kern w:val="0"/>
                      <w:sz w:val="21"/>
                      <w:szCs w:val="21"/>
                      <w:u w:val="none"/>
                      <w:lang w:val="en-US" w:eastAsia="zh-CN" w:bidi="ar"/>
                      <w14:textFill>
                        <w14:solidFill>
                          <w14:schemeClr w14:val="tx1"/>
                        </w14:solidFill>
                      </w14:textFill>
                    </w:rPr>
                    <w:t>模</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A44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熔融</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压铸</w:t>
                  </w:r>
                </w:p>
              </w:tc>
              <w:tc>
                <w:tcPr>
                  <w:tcW w:w="368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9AC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液化石油气</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燃烧</w:t>
                  </w:r>
                </w:p>
              </w:tc>
            </w:tr>
            <w:tr w14:paraId="58B77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D65C">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污染物</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57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非甲烷总烃、TVOC</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A13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颗粒物</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D6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颗粒物</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34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二氧化硫</w:t>
                  </w:r>
                </w:p>
              </w:tc>
              <w:tc>
                <w:tcPr>
                  <w:tcW w:w="13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57E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氮氧化物</w:t>
                  </w:r>
                </w:p>
              </w:tc>
            </w:tr>
            <w:tr w14:paraId="2825F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610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收集率</w:t>
                  </w:r>
                </w:p>
              </w:tc>
              <w:tc>
                <w:tcPr>
                  <w:tcW w:w="24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47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368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20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r>
            <w:tr w14:paraId="50A8A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405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去除率</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4F07E">
                  <w:pPr>
                    <w:jc w:val="cente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0</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085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3E1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13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87FD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r>
            <w:tr w14:paraId="02087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17D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总产生量t/a</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CC7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60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0.309</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BDA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0.0027</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3C4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13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D23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0.072</w:t>
                  </w:r>
                </w:p>
              </w:tc>
            </w:tr>
            <w:tr w14:paraId="4D6C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E110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风量（m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/h）</w:t>
                  </w:r>
                </w:p>
              </w:tc>
              <w:tc>
                <w:tcPr>
                  <w:tcW w:w="611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83E33">
                  <w:pPr>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15000</w:t>
                  </w:r>
                </w:p>
              </w:tc>
            </w:tr>
            <w:tr w14:paraId="7E13A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6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A6B9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工作时间（h）</w:t>
                  </w:r>
                </w:p>
              </w:tc>
              <w:tc>
                <w:tcPr>
                  <w:tcW w:w="611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710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2400</w:t>
                  </w:r>
                </w:p>
              </w:tc>
            </w:tr>
            <w:tr w14:paraId="00C09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CCC4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有组织排放</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98E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收集量（t/a）</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9BB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0.045</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904E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0.0951</w:t>
                  </w:r>
                </w:p>
              </w:tc>
              <w:tc>
                <w:tcPr>
                  <w:tcW w:w="13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4E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97D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0.0648</w:t>
                  </w:r>
                </w:p>
              </w:tc>
            </w:tr>
            <w:tr w14:paraId="7AF50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160F9">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ED99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产生速率（kg/h）</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7A9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0.0188</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3E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0.0394</w:t>
                  </w:r>
                </w:p>
              </w:tc>
              <w:tc>
                <w:tcPr>
                  <w:tcW w:w="13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28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5F8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0.027</w:t>
                  </w:r>
                </w:p>
              </w:tc>
            </w:tr>
            <w:tr w14:paraId="2D1B0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83205">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0C57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产生浓度（mg/m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218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1.253</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A13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2.626</w:t>
                  </w:r>
                </w:p>
              </w:tc>
              <w:tc>
                <w:tcPr>
                  <w:tcW w:w="13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F5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0.209</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06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w:t>
                  </w:r>
                </w:p>
              </w:tc>
            </w:tr>
            <w:tr w14:paraId="6EEB6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A19F9">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7FC6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排放量（t/a）</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1D6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0.045</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C3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0.019</w:t>
                  </w:r>
                </w:p>
              </w:tc>
              <w:tc>
                <w:tcPr>
                  <w:tcW w:w="13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A3A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3C6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0.0648</w:t>
                  </w:r>
                </w:p>
              </w:tc>
            </w:tr>
            <w:tr w14:paraId="77D52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3DB60">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E99F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排放速率（kg/h）</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97F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0.0188</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06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0.0079</w:t>
                  </w:r>
                </w:p>
              </w:tc>
              <w:tc>
                <w:tcPr>
                  <w:tcW w:w="13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648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7A0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0.027</w:t>
                  </w:r>
                </w:p>
              </w:tc>
            </w:tr>
            <w:tr w14:paraId="03628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B103F">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F85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排放浓度（mg/m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CE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1.253</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4BF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0.526</w:t>
                  </w:r>
                </w:p>
              </w:tc>
              <w:tc>
                <w:tcPr>
                  <w:tcW w:w="13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610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0.209</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9563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w:t>
                  </w:r>
                </w:p>
              </w:tc>
            </w:tr>
            <w:tr w14:paraId="0749E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9D13E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无组织排放</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0AC1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排放量（t/a）</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93F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0.105</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9D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0.2166</w:t>
                  </w:r>
                </w:p>
              </w:tc>
              <w:tc>
                <w:tcPr>
                  <w:tcW w:w="13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737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4</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BC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0.0072</w:t>
                  </w:r>
                </w:p>
              </w:tc>
            </w:tr>
            <w:tr w14:paraId="6868A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66855">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E879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排放速率（kg/h）</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26A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0.0438</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9A0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0.0902</w:t>
                  </w:r>
                </w:p>
              </w:tc>
              <w:tc>
                <w:tcPr>
                  <w:tcW w:w="13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A1B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4</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18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0.003</w:t>
                  </w:r>
                </w:p>
              </w:tc>
            </w:tr>
            <w:tr w14:paraId="1ECB7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5D1E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总排放量（t/a）</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FB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0.15</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475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0.2356</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3FB4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8.37×</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13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278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0.072</w:t>
                  </w:r>
                </w:p>
              </w:tc>
            </w:tr>
          </w:tbl>
          <w:p w14:paraId="5F7AB7B6">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18" w:firstLineChars="200"/>
              <w:jc w:val="left"/>
              <w:textAlignment w:val="auto"/>
              <w:rPr>
                <w:rFonts w:hint="eastAsia" w:ascii="Times New Roman" w:hAnsi="Times New Roman" w:eastAsia="宋体"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Times New Roman" w:hAnsi="Times New Roman" w:cs="Times New Roman"/>
                <w:b/>
                <w:bCs/>
                <w:color w:val="000000" w:themeColor="text1"/>
                <w:spacing w:val="-1"/>
                <w:sz w:val="21"/>
                <w:szCs w:val="21"/>
                <w:highlight w:val="none"/>
                <w:lang w:val="en-US" w:eastAsia="zh-CN"/>
                <w14:textFill>
                  <w14:solidFill>
                    <w14:schemeClr w14:val="tx1"/>
                  </w14:solidFill>
                </w14:textFill>
              </w:rPr>
              <w:t>④</w:t>
            </w:r>
            <w:r>
              <w:rPr>
                <w:rFonts w:hint="eastAsia" w:cs="Times New Roman"/>
                <w:b/>
                <w:bCs/>
                <w:color w:val="000000" w:themeColor="text1"/>
                <w:spacing w:val="-1"/>
                <w:sz w:val="21"/>
                <w:szCs w:val="21"/>
                <w:highlight w:val="none"/>
                <w:lang w:val="en-US" w:eastAsia="zh-CN"/>
                <w14:textFill>
                  <w14:solidFill>
                    <w14:schemeClr w14:val="tx1"/>
                  </w14:solidFill>
                </w14:textFill>
              </w:rPr>
              <w:t>钻孔攻牙</w:t>
            </w:r>
            <w:r>
              <w:rPr>
                <w:rFonts w:hint="eastAsia" w:ascii="Times New Roman" w:hAnsi="Times New Roman" w:cs="Times New Roman"/>
                <w:b/>
                <w:bCs/>
                <w:color w:val="000000" w:themeColor="text1"/>
                <w:spacing w:val="-1"/>
                <w:sz w:val="21"/>
                <w:szCs w:val="21"/>
                <w:highlight w:val="none"/>
                <w:lang w:val="en-US" w:eastAsia="zh-CN"/>
                <w14:textFill>
                  <w14:solidFill>
                    <w14:schemeClr w14:val="tx1"/>
                  </w14:solidFill>
                </w14:textFill>
              </w:rPr>
              <w:t>废气</w:t>
            </w:r>
            <w:r>
              <w:rPr>
                <w:rFonts w:hint="eastAsia" w:ascii="Times New Roman" w:hAnsi="Times New Roman" w:cs="Times New Roman"/>
                <w:color w:val="000000" w:themeColor="text1"/>
                <w:spacing w:val="-1"/>
                <w:sz w:val="21"/>
                <w:szCs w:val="21"/>
                <w:highlight w:val="none"/>
                <w:lang w:val="en-US" w:eastAsia="zh-CN"/>
                <w14:textFill>
                  <w14:solidFill>
                    <w14:schemeClr w14:val="tx1"/>
                  </w14:solidFill>
                </w14:textFill>
              </w:rPr>
              <w:t>：</w:t>
            </w:r>
            <w:r>
              <w:rPr>
                <w:rFonts w:hint="eastAsia"/>
                <w:b w:val="0"/>
                <w:bCs w:val="0"/>
                <w:color w:val="000000" w:themeColor="text1"/>
                <w:sz w:val="21"/>
                <w:szCs w:val="21"/>
                <w:highlight w:val="none"/>
                <w:lang w:val="en-US" w:eastAsia="zh-CN"/>
                <w14:textFill>
                  <w14:solidFill>
                    <w14:schemeClr w14:val="tx1"/>
                  </w14:solidFill>
                </w14:textFill>
              </w:rPr>
              <w:t>钻孔攻牙工序使用切削液会产生钻孔攻牙废气，主要污染物为非甲烷总烃、臭气浓度。项目年用切削液为1t，</w:t>
            </w:r>
            <w:r>
              <w:rPr>
                <w:rFonts w:hint="eastAsia" w:ascii="Times New Roman" w:hAnsi="Times New Roman" w:eastAsia="宋体" w:cs="Calibri"/>
                <w:color w:val="000000" w:themeColor="text1"/>
                <w:sz w:val="21"/>
                <w:szCs w:val="21"/>
                <w:highlight w:val="none"/>
                <w:lang w:val="en-US" w:eastAsia="zh-CN"/>
                <w14:textFill>
                  <w14:solidFill>
                    <w14:schemeClr w14:val="tx1"/>
                  </w14:solidFill>
                </w14:textFill>
              </w:rPr>
              <w:t>切削液挥发会产生有机废气（以非甲烷总烃为表征）和少量臭气浓度，</w:t>
            </w:r>
            <w:r>
              <w:rPr>
                <w:rFonts w:hint="eastAsia"/>
                <w:b w:val="0"/>
                <w:bCs w:val="0"/>
                <w:color w:val="000000" w:themeColor="text1"/>
                <w:sz w:val="21"/>
                <w:szCs w:val="21"/>
                <w:highlight w:val="none"/>
                <w:lang w:val="en-US" w:eastAsia="zh-CN"/>
                <w14:textFill>
                  <w14:solidFill>
                    <w14:schemeClr w14:val="tx1"/>
                  </w14:solidFill>
                </w14:textFill>
              </w:rPr>
              <w:t>切削液在钻孔攻牙过程产生的有机废气参照《排放源统计调查产排污核算方法和系数手册》中“</w:t>
            </w:r>
            <w:r>
              <w:rPr>
                <w:rFonts w:hint="eastAsia" w:cs="Times New Roman"/>
                <w:b w:val="0"/>
                <w:bCs w:val="0"/>
                <w:color w:val="000000" w:themeColor="text1"/>
                <w:sz w:val="21"/>
                <w:szCs w:val="21"/>
                <w:highlight w:val="none"/>
                <w:lang w:val="en-US" w:eastAsia="zh-CN" w:bidi="ar"/>
                <w14:textFill>
                  <w14:solidFill>
                    <w14:schemeClr w14:val="tx1"/>
                  </w14:solidFill>
                </w14:textFill>
              </w:rPr>
              <w:t>机械行业系数手册-07机械加工环节-机械加工-切削液--挥发性有机物的产污系数</w:t>
            </w:r>
            <w:r>
              <w:rPr>
                <w:rFonts w:hint="default" w:ascii="Times New Roman" w:hAnsi="Times New Roman" w:eastAsia="宋体" w:cs="Calibri"/>
                <w:color w:val="000000" w:themeColor="text1"/>
                <w:sz w:val="21"/>
                <w:szCs w:val="21"/>
                <w:highlight w:val="none"/>
                <w:lang w:val="en-US" w:eastAsia="zh-CN"/>
                <w14:textFill>
                  <w14:solidFill>
                    <w14:schemeClr w14:val="tx1"/>
                  </w14:solidFill>
                </w14:textFill>
              </w:rPr>
              <w:t>5.64kg/</w:t>
            </w:r>
            <w:r>
              <w:rPr>
                <w:rFonts w:hint="eastAsia" w:ascii="Times New Roman" w:hAnsi="Times New Roman" w:eastAsia="宋体" w:cs="Calibri"/>
                <w:color w:val="000000" w:themeColor="text1"/>
                <w:sz w:val="21"/>
                <w:szCs w:val="21"/>
                <w:highlight w:val="none"/>
                <w:lang w:val="en-US" w:eastAsia="zh-CN"/>
                <w14:textFill>
                  <w14:solidFill>
                    <w14:schemeClr w14:val="tx1"/>
                  </w14:solidFill>
                </w14:textFill>
              </w:rPr>
              <w:t>吨-</w:t>
            </w:r>
            <w:r>
              <w:rPr>
                <w:rFonts w:hint="default" w:ascii="Times New Roman" w:hAnsi="Times New Roman" w:eastAsia="宋体" w:cs="Calibri"/>
                <w:color w:val="000000" w:themeColor="text1"/>
                <w:sz w:val="21"/>
                <w:szCs w:val="21"/>
                <w:highlight w:val="none"/>
                <w:lang w:val="en-US" w:eastAsia="zh-CN"/>
                <w14:textFill>
                  <w14:solidFill>
                    <w14:schemeClr w14:val="tx1"/>
                  </w14:solidFill>
                </w14:textFill>
              </w:rPr>
              <w:t>原料</w:t>
            </w:r>
            <w:r>
              <w:rPr>
                <w:rFonts w:hint="eastAsia" w:ascii="Times New Roman" w:hAnsi="Times New Roman" w:eastAsia="宋体" w:cs="Calibri"/>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Calibri"/>
                <w:color w:val="000000" w:themeColor="text1"/>
                <w:sz w:val="21"/>
                <w:szCs w:val="21"/>
                <w:highlight w:val="none"/>
                <w:lang w:val="en-US" w:eastAsia="zh-CN"/>
                <w14:textFill>
                  <w14:solidFill>
                    <w14:schemeClr w14:val="tx1"/>
                  </w14:solidFill>
                </w14:textFill>
              </w:rPr>
              <w:t>计算</w:t>
            </w:r>
            <w:r>
              <w:rPr>
                <w:rFonts w:hint="eastAsia"/>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Calibri"/>
                <w:color w:val="000000" w:themeColor="text1"/>
                <w:sz w:val="21"/>
                <w:szCs w:val="21"/>
                <w:highlight w:val="none"/>
                <w:lang w:val="en-US" w:eastAsia="zh-CN"/>
                <w14:textFill>
                  <w14:solidFill>
                    <w14:schemeClr w14:val="tx1"/>
                  </w14:solidFill>
                </w14:textFill>
              </w:rPr>
              <w:t>则有机废气产生量为0.0056t/a</w:t>
            </w:r>
            <w:r>
              <w:rPr>
                <w:rFonts w:hint="eastAsia" w:ascii="Times New Roman" w:hAnsi="Times New Roman" w:eastAsia="宋体"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w:t>
            </w:r>
            <w:r>
              <w:rPr>
                <w:rFonts w:hint="eastAsia"/>
                <w:b w:val="0"/>
                <w:bCs w:val="0"/>
                <w:color w:val="000000" w:themeColor="text1"/>
                <w:sz w:val="21"/>
                <w:szCs w:val="21"/>
                <w:highlight w:val="none"/>
                <w:lang w:val="en-US" w:eastAsia="zh-CN"/>
                <w14:textFill>
                  <w14:solidFill>
                    <w14:schemeClr w14:val="tx1"/>
                  </w14:solidFill>
                </w14:textFill>
              </w:rPr>
              <w:t>钻孔攻牙</w:t>
            </w:r>
            <w:r>
              <w:rPr>
                <w:rFonts w:hint="eastAsia" w:ascii="Times New Roman" w:hAnsi="Times New Roman" w:eastAsia="宋体"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废气无组织排放，加强车间通风即可；非甲烷总烃达到广东省地方标准《大气污染物排放限值》（DB44/27-2001）表2第二时段无组织排放监控浓度限值，臭气浓度达到《恶臭污染物排放标准》（GB14554-93）表1恶臭污染物厂界标准值，对周围环境影响不大。</w:t>
            </w:r>
          </w:p>
          <w:p w14:paraId="273E601B">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Times New Roman" w:eastAsia="宋体" w:cs="Times New Roman"/>
                <w:color w:val="000000" w:themeColor="text1"/>
                <w:sz w:val="21"/>
                <w:szCs w:val="21"/>
                <w:highlight w:val="none"/>
                <w:lang w:val="en-US" w:eastAsia="zh-CN" w:bidi="ar"/>
                <w14:textFill>
                  <w14:solidFill>
                    <w14:schemeClr w14:val="tx1"/>
                  </w14:solidFill>
                </w14:textFill>
              </w:rPr>
            </w:pPr>
            <w:r>
              <w:rPr>
                <w:rFonts w:hint="eastAsia" w:cs="Times New Roman"/>
                <w:b/>
                <w:bCs/>
                <w:color w:val="000000" w:themeColor="text1"/>
                <w:sz w:val="21"/>
                <w:szCs w:val="21"/>
                <w:highlight w:val="none"/>
                <w:lang w:val="en-US" w:eastAsia="zh-CN" w:bidi="ar"/>
                <w14:textFill>
                  <w14:solidFill>
                    <w14:schemeClr w14:val="tx1"/>
                  </w14:solidFill>
                </w14:textFill>
              </w:rPr>
              <w:t>⑤研磨废气：</w:t>
            </w:r>
            <w:r>
              <w:rPr>
                <w:rFonts w:hint="eastAsia" w:cs="Times New Roman"/>
                <w:b w:val="0"/>
                <w:bCs w:val="0"/>
                <w:color w:val="000000" w:themeColor="text1"/>
                <w:sz w:val="21"/>
                <w:szCs w:val="21"/>
                <w:highlight w:val="none"/>
                <w:lang w:val="en-US" w:eastAsia="zh-CN" w:bidi="ar"/>
                <w14:textFill>
                  <w14:solidFill>
                    <w14:schemeClr w14:val="tx1"/>
                  </w14:solidFill>
                </w14:textFill>
              </w:rPr>
              <w:t>项目研磨工序50%工件进入滚砂机进行干式加工，干式研磨过程产生的颗粒物</w:t>
            </w:r>
            <w:r>
              <w:rPr>
                <w:rFonts w:hint="eastAsia"/>
                <w:b w:val="0"/>
                <w:bCs w:val="0"/>
                <w:color w:val="000000" w:themeColor="text1"/>
                <w:sz w:val="21"/>
                <w:szCs w:val="21"/>
                <w:highlight w:val="none"/>
                <w:lang w:val="en-US" w:eastAsia="zh-CN"/>
                <w14:textFill>
                  <w14:solidFill>
                    <w14:schemeClr w14:val="tx1"/>
                  </w14:solidFill>
                </w14:textFill>
              </w:rPr>
              <w:t>参照《排放源统计调查产排污核算方法和系数手册》中“</w:t>
            </w:r>
            <w:r>
              <w:rPr>
                <w:rFonts w:hint="eastAsia" w:cs="Times New Roman"/>
                <w:b w:val="0"/>
                <w:bCs w:val="0"/>
                <w:color w:val="000000" w:themeColor="text1"/>
                <w:sz w:val="21"/>
                <w:szCs w:val="21"/>
                <w:highlight w:val="none"/>
                <w:lang w:val="en-US" w:eastAsia="zh-CN" w:bidi="ar"/>
                <w14:textFill>
                  <w14:solidFill>
                    <w14:schemeClr w14:val="tx1"/>
                  </w14:solidFill>
                </w14:textFill>
              </w:rPr>
              <w:t>机械行业系数手册-06预处理核算环节-干式预处理件-抛丸、喷砂、打磨-颗粒物的产污系数2.19千克/吨-原料</w:t>
            </w:r>
            <w:r>
              <w:rPr>
                <w:rFonts w:hint="eastAsia"/>
                <w:b w:val="0"/>
                <w:bCs w:val="0"/>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val="en-US" w:eastAsia="zh-CN" w:bidi="ar"/>
                <w14:textFill>
                  <w14:solidFill>
                    <w14:schemeClr w14:val="tx1"/>
                  </w14:solidFill>
                </w14:textFill>
              </w:rPr>
              <w:t>计算。项目年使用锌锭、铝锭原料总量为264.2吨，原料不锈钢砂用量为0.5t/a</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（磨损率按50%计）</w:t>
            </w:r>
            <w:r>
              <w:rPr>
                <w:rFonts w:hint="eastAsia" w:cs="Times New Roman"/>
                <w:b w:val="0"/>
                <w:bCs w:val="0"/>
                <w:color w:val="000000" w:themeColor="text1"/>
                <w:sz w:val="21"/>
                <w:szCs w:val="21"/>
                <w:highlight w:val="none"/>
                <w:lang w:val="en-US" w:eastAsia="zh-CN" w:bidi="ar"/>
                <w14:textFill>
                  <w14:solidFill>
                    <w14:schemeClr w14:val="tx1"/>
                  </w14:solidFill>
                </w14:textFill>
              </w:rPr>
              <w:t>，</w:t>
            </w:r>
            <w:r>
              <w:rPr>
                <w:rFonts w:hint="eastAsia" w:ascii="Times New Roman" w:hAnsi="Times New Roman" w:eastAsia="宋体" w:cs="Arial"/>
                <w:snapToGrid w:val="0"/>
                <w:color w:val="000000" w:themeColor="text1"/>
                <w:spacing w:val="0"/>
                <w:kern w:val="0"/>
                <w:sz w:val="21"/>
                <w:szCs w:val="22"/>
                <w:highlight w:val="none"/>
                <w:lang w:val="en-US" w:eastAsia="zh-CN" w:bidi="ar-SA"/>
                <w14:textFill>
                  <w14:solidFill>
                    <w14:schemeClr w14:val="tx1"/>
                  </w14:solidFill>
                </w14:textFill>
              </w:rPr>
              <w:t>研磨的</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颗粒物产生量为264.2t/a×</w:t>
            </w:r>
            <w:r>
              <w:rPr>
                <w:rFonts w:hint="eastAsia" w:cs="宋体"/>
                <w:snapToGrid w:val="0"/>
                <w:color w:val="000000" w:themeColor="text1"/>
                <w:spacing w:val="0"/>
                <w:kern w:val="0"/>
                <w:sz w:val="21"/>
                <w:szCs w:val="22"/>
                <w:highlight w:val="none"/>
                <w:lang w:val="en-US" w:eastAsia="zh-CN" w:bidi="ar-SA"/>
                <w14:textFill>
                  <w14:solidFill>
                    <w14:schemeClr w14:val="tx1"/>
                  </w14:solidFill>
                </w14:textFill>
              </w:rPr>
              <w:t>50%×</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2.19千克/吨-原料+（0.</w:t>
            </w:r>
            <w:r>
              <w:rPr>
                <w:rFonts w:hint="eastAsia" w:cs="宋体"/>
                <w:snapToGrid w:val="0"/>
                <w:color w:val="000000" w:themeColor="text1"/>
                <w:spacing w:val="0"/>
                <w:kern w:val="0"/>
                <w:sz w:val="21"/>
                <w:szCs w:val="22"/>
                <w:highlight w:val="none"/>
                <w:lang w:val="en-US" w:eastAsia="zh-CN" w:bidi="ar-SA"/>
                <w14:textFill>
                  <w14:solidFill>
                    <w14:schemeClr w14:val="tx1"/>
                  </w14:solidFill>
                </w14:textFill>
              </w:rPr>
              <w:t>5</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×50%）t/a=0.5</w:t>
            </w:r>
            <w:r>
              <w:rPr>
                <w:rFonts w:hint="eastAsia" w:cs="宋体"/>
                <w:snapToGrid w:val="0"/>
                <w:color w:val="000000" w:themeColor="text1"/>
                <w:spacing w:val="0"/>
                <w:kern w:val="0"/>
                <w:sz w:val="21"/>
                <w:szCs w:val="22"/>
                <w:highlight w:val="none"/>
                <w:lang w:val="en-US" w:eastAsia="zh-CN" w:bidi="ar-SA"/>
                <w14:textFill>
                  <w14:solidFill>
                    <w14:schemeClr w14:val="tx1"/>
                  </w14:solidFill>
                </w14:textFill>
              </w:rPr>
              <w:t>3</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9t/a。</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由于金属粉尘粒径、密度均较大，</w:t>
            </w:r>
            <w:r>
              <w:rPr>
                <w:rFonts w:hint="eastAsia" w:cs="Times New Roman"/>
                <w:b w:val="0"/>
                <w:bCs/>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0%粉尘在车间内自由沉降</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定期清扫</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val="en-US" w:eastAsia="zh-CN" w:bidi="ar"/>
                <w14:textFill>
                  <w14:solidFill>
                    <w14:schemeClr w14:val="tx1"/>
                  </w14:solidFill>
                </w14:textFill>
              </w:rPr>
              <w:t>则研磨废气的产生量0.539×（1-60%）=0.2156吨/年。</w:t>
            </w:r>
            <w:r>
              <w:rPr>
                <w:rFonts w:hint="eastAsia" w:ascii="Times New Roman" w:hAnsi="Times New Roman"/>
                <w:color w:val="000000" w:themeColor="text1"/>
                <w:kern w:val="2"/>
                <w:sz w:val="21"/>
                <w:szCs w:val="24"/>
                <w:highlight w:val="none"/>
                <w:lang w:val="en-US" w:eastAsia="zh-CN"/>
                <w14:textFill>
                  <w14:solidFill>
                    <w14:schemeClr w14:val="tx1"/>
                  </w14:solidFill>
                </w14:textFill>
              </w:rPr>
              <w:t>项目通过加强车间机械通风后无组织排放</w:t>
            </w:r>
            <w:r>
              <w:rPr>
                <w:rFonts w:hint="eastAsia"/>
                <w:b w:val="0"/>
                <w:bCs w:val="0"/>
                <w:color w:val="000000" w:themeColor="text1"/>
                <w:sz w:val="21"/>
                <w:szCs w:val="21"/>
                <w:highlight w:val="none"/>
                <w:lang w:val="en-US" w:eastAsia="zh-CN"/>
                <w14:textFill>
                  <w14:solidFill>
                    <w14:schemeClr w14:val="tx1"/>
                  </w14:solidFill>
                </w14:textFill>
              </w:rPr>
              <w:t>，颗粒物达到</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广东省地方标准《大气污染物排放限值》（DB44/27-2001）表2第二时段无组织排放监控浓度限值</w:t>
            </w:r>
            <w:r>
              <w:rPr>
                <w:rFonts w:hint="eastAsia"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p>
          <w:p w14:paraId="4473AA80">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Times New Roman" w:eastAsia="宋体" w:cs="Times New Roman"/>
                <w:color w:val="000000" w:themeColor="text1"/>
                <w:sz w:val="21"/>
                <w:szCs w:val="21"/>
                <w:highlight w:val="none"/>
                <w:lang w:val="en-US" w:eastAsia="zh-CN" w:bidi="ar"/>
                <w14:textFill>
                  <w14:solidFill>
                    <w14:schemeClr w14:val="tx1"/>
                  </w14:solidFill>
                </w14:textFill>
              </w:rPr>
            </w:pPr>
            <w:r>
              <w:rPr>
                <w:rFonts w:hint="eastAsia" w:cs="Times New Roman"/>
                <w:b/>
                <w:bCs/>
                <w:color w:val="000000" w:themeColor="text1"/>
                <w:sz w:val="21"/>
                <w:szCs w:val="21"/>
                <w:highlight w:val="none"/>
                <w:lang w:val="en-US" w:eastAsia="zh-CN" w:bidi="ar"/>
                <w14:textFill>
                  <w14:solidFill>
                    <w14:schemeClr w14:val="tx1"/>
                  </w14:solidFill>
                </w14:textFill>
              </w:rPr>
              <w:t>⑥抛光废气：</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项目在抛光工序会产生</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废气</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，其主要污染物以颗粒物表征。根据</w:t>
            </w:r>
            <w:r>
              <w:rPr>
                <w:rFonts w:ascii="Times New Roman" w:hAnsi="Times New Roman" w:eastAsia="宋体" w:cs="Times New Roman"/>
                <w:color w:val="000000" w:themeColor="text1"/>
                <w:spacing w:val="0"/>
                <w:sz w:val="21"/>
                <w:highlight w:val="none"/>
                <w14:textFill>
                  <w14:solidFill>
                    <w14:schemeClr w14:val="tx1"/>
                  </w14:solidFill>
                </w14:textFill>
              </w:rPr>
              <w:t>《排放源统计调查产排污核算方法和系数手册》</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中</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金属制品业-06预处理核算环节</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：颗粒物产污系数取2.19千克/吨-原料。</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项目年使用锌锭、铝锭原料总量为264.2吨，使用湿式抛光机对工件进行抛光，原料砂带的用量为</w:t>
            </w:r>
            <w:r>
              <w:rPr>
                <w:rFonts w:hint="eastAsia" w:ascii="Times New Roman" w:hAnsi="Times New Roman" w:eastAsia="宋体" w:cs="Arial"/>
                <w:snapToGrid w:val="0"/>
                <w:color w:val="000000" w:themeColor="text1"/>
                <w:spacing w:val="0"/>
                <w:kern w:val="0"/>
                <w:sz w:val="21"/>
                <w:szCs w:val="22"/>
                <w:highlight w:val="none"/>
                <w:lang w:val="en-US" w:eastAsia="zh-CN" w:bidi="ar-SA"/>
                <w14:textFill>
                  <w14:solidFill>
                    <w14:schemeClr w14:val="tx1"/>
                  </w14:solidFill>
                </w14:textFill>
              </w:rPr>
              <w:t>0.04t/a</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（磨损率按50%计）</w:t>
            </w:r>
            <w:r>
              <w:rPr>
                <w:rFonts w:hint="eastAsia" w:ascii="Times New Roman" w:hAnsi="Times New Roman" w:eastAsia="宋体" w:cs="Arial"/>
                <w:snapToGrid w:val="0"/>
                <w:color w:val="000000" w:themeColor="text1"/>
                <w:spacing w:val="0"/>
                <w:kern w:val="0"/>
                <w:sz w:val="21"/>
                <w:szCs w:val="22"/>
                <w:highlight w:val="none"/>
                <w:lang w:val="en-US" w:eastAsia="zh-CN" w:bidi="ar-SA"/>
                <w14:textFill>
                  <w14:solidFill>
                    <w14:schemeClr w14:val="tx1"/>
                  </w14:solidFill>
                </w14:textFill>
              </w:rPr>
              <w:t>，抛光的</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颗粒物产生量为264.2</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t/a</w:t>
            </w:r>
            <w:r>
              <w:rPr>
                <w:rFonts w:hint="default" w:ascii="Times New Roman" w:hAnsi="Times New Roman" w:eastAsia="宋体" w:cs="Arial"/>
                <w:snapToGrid w:val="0"/>
                <w:color w:val="000000" w:themeColor="text1"/>
                <w:spacing w:val="0"/>
                <w:kern w:val="0"/>
                <w:sz w:val="21"/>
                <w:szCs w:val="22"/>
                <w:highlight w:val="none"/>
                <w:lang w:val="en-US" w:eastAsia="zh-CN" w:bidi="ar-SA"/>
                <w14:textFill>
                  <w14:solidFill>
                    <w14:schemeClr w14:val="tx1"/>
                  </w14:solidFill>
                </w14:textFill>
              </w:rPr>
              <w:t>×</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2.19千克/吨-原料</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+（0.04×50%）t/a=0.599t/a。</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由于金属</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颗粒物</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粒径较大，比重较重</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w:t>
            </w:r>
            <w:r>
              <w:rPr>
                <w:rFonts w:hint="eastAsia" w:cs="宋体"/>
                <w:snapToGrid w:val="0"/>
                <w:color w:val="000000" w:themeColor="text1"/>
                <w:spacing w:val="0"/>
                <w:kern w:val="0"/>
                <w:sz w:val="21"/>
                <w:szCs w:val="22"/>
                <w:highlight w:val="none"/>
                <w:lang w:val="en-US" w:eastAsia="zh-CN" w:bidi="ar-SA"/>
                <w14:textFill>
                  <w14:solidFill>
                    <w14:schemeClr w14:val="tx1"/>
                  </w14:solidFill>
                </w14:textFill>
              </w:rPr>
              <w:t>根据同行业工程经验，</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约60%</w:t>
            </w:r>
            <w:r>
              <w:rPr>
                <w:rFonts w:hint="eastAsia" w:cs="宋体"/>
                <w:snapToGrid w:val="0"/>
                <w:color w:val="000000" w:themeColor="text1"/>
                <w:spacing w:val="0"/>
                <w:kern w:val="0"/>
                <w:sz w:val="21"/>
                <w:szCs w:val="22"/>
                <w:highlight w:val="none"/>
                <w:lang w:val="en-US" w:eastAsia="zh-CN" w:bidi="ar-SA"/>
                <w14:textFill>
                  <w14:solidFill>
                    <w14:schemeClr w14:val="tx1"/>
                  </w14:solidFill>
                </w14:textFill>
              </w:rPr>
              <w:t>的颗粒物沉淀到</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抛光机下方水帘中，其余逸出颗粒物为抛光废气，则抛光废气产生量为0.599×（1-60%）=0.2396t/a。</w:t>
            </w:r>
            <w:r>
              <w:rPr>
                <w:rFonts w:hint="eastAsia" w:ascii="Times New Roman" w:hAnsi="Times New Roman"/>
                <w:color w:val="000000" w:themeColor="text1"/>
                <w:kern w:val="2"/>
                <w:sz w:val="21"/>
                <w:szCs w:val="24"/>
                <w:highlight w:val="none"/>
                <w:lang w:val="en-US" w:eastAsia="zh-CN"/>
                <w14:textFill>
                  <w14:solidFill>
                    <w14:schemeClr w14:val="tx1"/>
                  </w14:solidFill>
                </w14:textFill>
              </w:rPr>
              <w:t>项目通过加强车间机械通风后无组织排放</w:t>
            </w:r>
            <w:r>
              <w:rPr>
                <w:rFonts w:hint="eastAsia"/>
                <w:b w:val="0"/>
                <w:bCs w:val="0"/>
                <w:color w:val="000000" w:themeColor="text1"/>
                <w:sz w:val="21"/>
                <w:szCs w:val="21"/>
                <w:highlight w:val="none"/>
                <w:lang w:val="en-US" w:eastAsia="zh-CN"/>
                <w14:textFill>
                  <w14:solidFill>
                    <w14:schemeClr w14:val="tx1"/>
                  </w14:solidFill>
                </w14:textFill>
              </w:rPr>
              <w:t>，颗粒物达到</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广东省地方标准《大气污染物排放限值》（DB44/27-2001）表2第二时段无组织排放监控浓度限值</w:t>
            </w:r>
            <w:r>
              <w:rPr>
                <w:rFonts w:hint="eastAsia"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p>
          <w:p w14:paraId="4053DF3E">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2" w:firstLineChars="200"/>
              <w:jc w:val="left"/>
              <w:textAlignment w:val="auto"/>
              <w:rPr>
                <w:rFonts w:hint="eastAsia" w:cs="Times New Roman"/>
                <w:color w:val="000000" w:themeColor="text1"/>
                <w:sz w:val="21"/>
                <w:szCs w:val="21"/>
                <w:highlight w:val="none"/>
                <w:lang w:val="en-US" w:eastAsia="zh-CN" w:bidi="ar"/>
                <w14:textFill>
                  <w14:solidFill>
                    <w14:schemeClr w14:val="tx1"/>
                  </w14:solidFill>
                </w14:textFill>
              </w:rPr>
            </w:pPr>
            <w:r>
              <w:rPr>
                <w:rFonts w:hint="eastAsia" w:cs="Times New Roman"/>
                <w:b/>
                <w:bCs/>
                <w:color w:val="000000" w:themeColor="text1"/>
                <w:sz w:val="21"/>
                <w:szCs w:val="21"/>
                <w:highlight w:val="none"/>
                <w:lang w:val="en-US" w:eastAsia="zh-CN" w:bidi="ar"/>
                <w14:textFill>
                  <w14:solidFill>
                    <w14:schemeClr w14:val="tx1"/>
                  </w14:solidFill>
                </w14:textFill>
              </w:rPr>
              <w:t>⑦机加工废气：</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项目在</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机加工</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工序会产生</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少量废气</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，其主要污染物以</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非甲烷总烃、臭气浓度和</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颗粒物表征</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w:t>
            </w:r>
            <w:r>
              <w:rPr>
                <w:rFonts w:hint="eastAsia" w:cs="Times New Roman"/>
                <w:color w:val="000000" w:themeColor="text1"/>
                <w:sz w:val="21"/>
                <w:szCs w:val="21"/>
                <w:highlight w:val="none"/>
                <w:lang w:val="en-US" w:eastAsia="zh-CN" w:bidi="ar"/>
                <w14:textFill>
                  <w14:solidFill>
                    <w14:schemeClr w14:val="tx1"/>
                  </w14:solidFill>
                </w14:textFill>
              </w:rPr>
              <w:t>机加工过程产生的都是大粒径的金属碎屑，且设备会使用火花油作为辅料进行加工，不会产生大量金属粉尘逸散，项目对机加工工序产生的颗粒物仅作定性分析；火花油在机加工过程中可能因高温而挥发产生有机废气（以非甲烷总烃为表征）和少量臭气浓度，由于有机废气产生量较少仅作定性分析。项目通过加强车间机械通风后无组织排放，</w:t>
            </w:r>
            <w:r>
              <w:rPr>
                <w:rFonts w:hint="eastAsia" w:ascii="Times New Roman" w:hAnsi="Times New Roman" w:eastAsia="宋体" w:cs="Arial"/>
                <w:i w:val="0"/>
                <w:iCs w:val="0"/>
                <w:caps w:val="0"/>
                <w:color w:val="000000" w:themeColor="text1"/>
                <w:spacing w:val="0"/>
                <w:sz w:val="21"/>
                <w:szCs w:val="21"/>
                <w:highlight w:val="none"/>
                <w:shd w:val="clear" w:color="auto" w:fill="FFFFFF"/>
                <w:lang w:val="en-US" w:eastAsia="zh-CN"/>
                <w14:textFill>
                  <w14:solidFill>
                    <w14:schemeClr w14:val="tx1"/>
                  </w14:solidFill>
                </w14:textFill>
              </w:rPr>
              <w:t>非甲烷总烃、</w:t>
            </w:r>
            <w:r>
              <w:rPr>
                <w:rFonts w:hint="eastAsia" w:cs="Times New Roman"/>
                <w:color w:val="000000" w:themeColor="text1"/>
                <w:sz w:val="21"/>
                <w:szCs w:val="21"/>
                <w:highlight w:val="none"/>
                <w:lang w:val="en-US" w:eastAsia="zh-CN" w:bidi="ar"/>
                <w14:textFill>
                  <w14:solidFill>
                    <w14:schemeClr w14:val="tx1"/>
                  </w14:solidFill>
                </w14:textFill>
              </w:rPr>
              <w:t>颗粒物达到广东省地方标准《大气污染物排放限值》（DB44/27-2001）表2第二时段无组织排放监控浓度限值，</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臭气浓度达到</w:t>
            </w:r>
            <w:r>
              <w:rPr>
                <w:rFonts w:hint="eastAsia" w:ascii="宋体" w:hAnsi="宋体" w:eastAsia="宋体" w:cs="宋体"/>
                <w:color w:val="000000" w:themeColor="text1"/>
                <w:kern w:val="0"/>
                <w:sz w:val="21"/>
                <w:szCs w:val="21"/>
                <w:lang w:val="en-US" w:eastAsia="zh-CN" w:bidi="ar"/>
                <w14:textFill>
                  <w14:solidFill>
                    <w14:schemeClr w14:val="tx1"/>
                  </w14:solidFill>
                </w14:textFill>
              </w:rPr>
              <w:t>《恶臭污染物排放标准》</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(GB14554-93)</w:t>
            </w:r>
            <w:r>
              <w:rPr>
                <w:rFonts w:hint="eastAsia" w:ascii="宋体" w:hAnsi="宋体" w:eastAsia="宋体" w:cs="宋体"/>
                <w:color w:val="000000" w:themeColor="text1"/>
                <w:kern w:val="0"/>
                <w:sz w:val="21"/>
                <w:szCs w:val="21"/>
                <w:lang w:val="en-US" w:eastAsia="zh-CN" w:bidi="ar"/>
                <w14:textFill>
                  <w14:solidFill>
                    <w14:schemeClr w14:val="tx1"/>
                  </w14:solidFill>
                </w14:textFill>
              </w:rPr>
              <w:t>表</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r>
              <w:rPr>
                <w:rFonts w:hint="eastAsia" w:ascii="宋体" w:hAnsi="宋体" w:eastAsia="宋体" w:cs="宋体"/>
                <w:color w:val="000000" w:themeColor="text1"/>
                <w:kern w:val="0"/>
                <w:sz w:val="21"/>
                <w:szCs w:val="21"/>
                <w:lang w:val="en-US" w:eastAsia="zh-CN" w:bidi="ar"/>
                <w14:textFill>
                  <w14:solidFill>
                    <w14:schemeClr w14:val="tx1"/>
                  </w14:solidFill>
                </w14:textFill>
              </w:rPr>
              <w:t>恶臭污染物厂界标准值</w:t>
            </w:r>
            <w:r>
              <w:rPr>
                <w:rFonts w:hint="eastAsia" w:cs="Times New Roman"/>
                <w:color w:val="000000" w:themeColor="text1"/>
                <w:sz w:val="21"/>
                <w:szCs w:val="21"/>
                <w:highlight w:val="none"/>
                <w:lang w:val="en-US" w:eastAsia="zh-CN" w:bidi="ar"/>
                <w14:textFill>
                  <w14:solidFill>
                    <w14:schemeClr w14:val="tx1"/>
                  </w14:solidFill>
                </w14:textFill>
              </w:rPr>
              <w:t>。</w:t>
            </w:r>
          </w:p>
          <w:p w14:paraId="01D7FAB7">
            <w:pPr>
              <w:pStyle w:val="19"/>
              <w:keepNext w:val="0"/>
              <w:keepLines w:val="0"/>
              <w:pageBreakBefore w:val="0"/>
              <w:widowControl w:val="0"/>
              <w:shd w:val="clear"/>
              <w:kinsoku/>
              <w:wordWrap/>
              <w:overflowPunct/>
              <w:topLinePunct w:val="0"/>
              <w:autoSpaceDE/>
              <w:autoSpaceDN/>
              <w:bidi w:val="0"/>
              <w:adjustRightInd/>
              <w:snapToGrid w:val="0"/>
              <w:spacing w:before="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有组织排放中，非甲烷总烃、</w:t>
            </w:r>
            <w:r>
              <w:rPr>
                <w:rFonts w:hint="eastAsia" w:cs="Times New Roman"/>
                <w:color w:val="000000" w:themeColor="text1"/>
                <w:sz w:val="21"/>
                <w:szCs w:val="21"/>
                <w:highlight w:val="none"/>
                <w:lang w:val="en-US" w:eastAsia="zh-CN"/>
                <w14:textFill>
                  <w14:solidFill>
                    <w14:schemeClr w14:val="tx1"/>
                  </w14:solidFill>
                </w14:textFill>
              </w:rPr>
              <w:t>TVOC</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达到广东地方标准《固定污染源挥发性有机物综合排放标准》（DB44/2367-2022）表1挥发性有机物排放限值；臭气浓度达到《恶臭污染物排放标准》（GB14554-93）表2恶臭污染物排放标准值</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SO₂</w:t>
            </w:r>
            <w:r>
              <w:rPr>
                <w:rFonts w:hint="eastAsia"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NOx</w:t>
            </w:r>
            <w:r>
              <w:rPr>
                <w:rFonts w:hint="eastAsia"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颗粒物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达到</w:t>
            </w:r>
            <w:r>
              <w:rPr>
                <w:rFonts w:ascii="Times New Roman" w:hAnsi="Times New Roman" w:eastAsia="宋体"/>
                <w:color w:val="000000" w:themeColor="text1"/>
                <w:spacing w:val="0"/>
                <w:sz w:val="21"/>
                <w:szCs w:val="21"/>
                <w:highlight w:val="none"/>
                <w14:textFill>
                  <w14:solidFill>
                    <w14:schemeClr w14:val="tx1"/>
                  </w14:solidFill>
                </w14:textFill>
              </w:rPr>
              <w:t>《铸造工业大气污染物排放标准》</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GB39726-2020</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表1大气污染物排放限值</w:t>
            </w:r>
            <w:r>
              <w:rPr>
                <w:rFonts w:hint="eastAsia"/>
                <w:color w:val="000000" w:themeColor="text1"/>
                <w:spacing w:val="0"/>
                <w:sz w:val="21"/>
                <w:szCs w:val="21"/>
                <w:highlight w:val="none"/>
                <w:lang w:eastAsia="zh-CN"/>
                <w14:textFill>
                  <w14:solidFill>
                    <w14:schemeClr w14:val="tx1"/>
                  </w14:solidFill>
                </w14:textFill>
              </w:rPr>
              <w:t>，</w:t>
            </w:r>
            <w:r>
              <w:rPr>
                <w:rFonts w:hint="eastAsia"/>
                <w:color w:val="000000" w:themeColor="text1"/>
                <w:spacing w:val="0"/>
                <w:sz w:val="21"/>
                <w:szCs w:val="21"/>
                <w:highlight w:val="none"/>
                <w:lang w:val="en-US" w:eastAsia="zh-CN"/>
                <w14:textFill>
                  <w14:solidFill>
                    <w14:schemeClr w14:val="tx1"/>
                  </w14:solidFill>
                </w14:textFill>
              </w:rPr>
              <w:t>林格曼黑度达到</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《工业炉窑大气污染物排放标准》（GB9078-1996）表2金属熔化炉二级标准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2BB0292F">
            <w:pPr>
              <w:pStyle w:val="19"/>
              <w:keepNext w:val="0"/>
              <w:keepLines w:val="0"/>
              <w:pageBreakBefore w:val="0"/>
              <w:widowControl w:val="0"/>
              <w:shd w:val="clear"/>
              <w:kinsoku/>
              <w:wordWrap/>
              <w:overflowPunct/>
              <w:topLinePunct w:val="0"/>
              <w:autoSpaceDE/>
              <w:autoSpaceDN/>
              <w:bidi w:val="0"/>
              <w:adjustRightInd/>
              <w:snapToGrid w:val="0"/>
              <w:spacing w:before="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无组织排放的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非甲烷总烃、颗粒物、SO₂、NOx达到广东省地方标准《大气污染物排放限值》（DB44/27-2001）</w:t>
            </w:r>
            <w:r>
              <w:rPr>
                <w:rFonts w:hint="eastAsia" w:cs="Times New Roman"/>
                <w:color w:val="000000" w:themeColor="text1"/>
                <w:sz w:val="21"/>
                <w:szCs w:val="21"/>
                <w:highlight w:val="none"/>
                <w:lang w:val="en-US" w:eastAsia="zh-CN"/>
                <w14:textFill>
                  <w14:solidFill>
                    <w14:schemeClr w14:val="tx1"/>
                  </w14:solidFill>
                </w14:textFill>
              </w:rPr>
              <w:t>表2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第二时段无组织排放监控浓度限值；臭气浓度达到《恶臭污染物排放标准》（GB14554-93）表1恶臭污染物厂界标准值；项目厂区非甲烷总烃浓度限值执行《铸造工业大气污染物排放标准》（GB39726-2020）表A.1厂区内颗粒物、VOCs无组织排放限值及广东省地方标准《固定污染源挥发性有机物综合排放标准》（DB44/2367-2022）表3厂区内VOCs无组织排放限值两者较严值；颗粒物达到《铸造工业大气污染物排放标准》（GB39726-2020）表A.1厂区内颗粒物、VOCs无组织排放限值。</w:t>
            </w:r>
          </w:p>
          <w:p w14:paraId="59D27469">
            <w:pPr>
              <w:pStyle w:val="19"/>
              <w:keepNext w:val="0"/>
              <w:keepLines w:val="0"/>
              <w:pageBreakBefore w:val="0"/>
              <w:widowControl w:val="0"/>
              <w:shd w:val="clear"/>
              <w:kinsoku/>
              <w:wordWrap/>
              <w:overflowPunct/>
              <w:topLinePunct w:val="0"/>
              <w:autoSpaceDE/>
              <w:autoSpaceDN/>
              <w:bidi w:val="0"/>
              <w:adjustRightInd/>
              <w:snapToGrid w:val="0"/>
              <w:spacing w:before="0" w:line="360" w:lineRule="auto"/>
              <w:ind w:left="0" w:right="0" w:firstLine="482"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本项目全厂废气排放</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情况如下</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w:t>
            </w:r>
          </w:p>
          <w:p w14:paraId="727158AA">
            <w:pPr>
              <w:shd w:val="clear"/>
              <w:adjustRightInd w:val="0"/>
              <w:snapToGrid w:val="0"/>
              <w:spacing w:line="360" w:lineRule="auto"/>
              <w:ind w:firstLine="482" w:firstLineChars="200"/>
              <w:jc w:val="cente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表2</w:t>
            </w:r>
            <w:r>
              <w:rPr>
                <w:rFonts w:hint="eastAsia" w:cs="Times New Roman"/>
                <w:b/>
                <w:bCs/>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大气污染物有组织排放核算表</w:t>
            </w:r>
          </w:p>
          <w:tbl>
            <w:tblPr>
              <w:tblStyle w:val="34"/>
              <w:tblW w:w="6900" w:type="dxa"/>
              <w:tblInd w:w="5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8"/>
              <w:gridCol w:w="1331"/>
              <w:gridCol w:w="1550"/>
              <w:gridCol w:w="1404"/>
              <w:gridCol w:w="1347"/>
            </w:tblGrid>
            <w:tr w14:paraId="2119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trPr>
              <w:tc>
                <w:tcPr>
                  <w:tcW w:w="1268" w:type="dxa"/>
                  <w:noWrap w:val="0"/>
                  <w:vAlign w:val="center"/>
                </w:tcPr>
                <w:p w14:paraId="6294509E">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排放口</w:t>
                  </w:r>
                </w:p>
              </w:tc>
              <w:tc>
                <w:tcPr>
                  <w:tcW w:w="1331" w:type="dxa"/>
                  <w:noWrap w:val="0"/>
                  <w:vAlign w:val="center"/>
                </w:tcPr>
                <w:p w14:paraId="25279407">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污染物</w:t>
                  </w:r>
                </w:p>
              </w:tc>
              <w:tc>
                <w:tcPr>
                  <w:tcW w:w="1550" w:type="dxa"/>
                  <w:noWrap w:val="0"/>
                  <w:vAlign w:val="center"/>
                </w:tcPr>
                <w:p w14:paraId="048EE50C">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排放浓度</w:t>
                  </w: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w:t>
                  </w:r>
                  <w:r>
                    <w:rPr>
                      <w:rFonts w:hint="default" w:ascii="Times New Roman" w:hAnsi="Times New Roman" w:eastAsia="宋体" w:cs="Times New Roman"/>
                      <w:b/>
                      <w:color w:val="000000" w:themeColor="text1"/>
                      <w:sz w:val="21"/>
                      <w:szCs w:val="21"/>
                      <w:highlight w:val="none"/>
                      <w:lang w:bidi="ar"/>
                      <w14:textFill>
                        <w14:solidFill>
                          <w14:schemeClr w14:val="tx1"/>
                        </w14:solidFill>
                      </w14:textFill>
                    </w:rPr>
                    <w:t>m</w:t>
                  </w: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g/m</w:t>
                  </w:r>
                  <w:r>
                    <w:rPr>
                      <w:rFonts w:hint="default" w:ascii="Times New Roman" w:hAnsi="Times New Roman" w:eastAsia="宋体" w:cs="Times New Roman"/>
                      <w:b/>
                      <w:color w:val="000000" w:themeColor="text1"/>
                      <w:sz w:val="21"/>
                      <w:szCs w:val="21"/>
                      <w:highlight w:val="none"/>
                      <w:vertAlign w:val="superscript"/>
                      <w:lang w:val="zh-CN" w:bidi="ar"/>
                      <w14:textFill>
                        <w14:solidFill>
                          <w14:schemeClr w14:val="tx1"/>
                        </w14:solidFill>
                      </w14:textFill>
                    </w:rPr>
                    <w:t>3</w:t>
                  </w: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w:t>
                  </w:r>
                </w:p>
              </w:tc>
              <w:tc>
                <w:tcPr>
                  <w:tcW w:w="1404" w:type="dxa"/>
                  <w:noWrap w:val="0"/>
                  <w:vAlign w:val="center"/>
                </w:tcPr>
                <w:p w14:paraId="0B6620CD">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排放速率</w:t>
                  </w: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（kg/h）</w:t>
                  </w:r>
                </w:p>
              </w:tc>
              <w:tc>
                <w:tcPr>
                  <w:tcW w:w="1347" w:type="dxa"/>
                  <w:noWrap w:val="0"/>
                  <w:vAlign w:val="center"/>
                </w:tcPr>
                <w:p w14:paraId="2FFC6757">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年排放量</w:t>
                  </w: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（t/a）</w:t>
                  </w:r>
                </w:p>
              </w:tc>
            </w:tr>
            <w:tr w14:paraId="0D35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1268" w:type="dxa"/>
                  <w:vMerge w:val="restart"/>
                  <w:noWrap w:val="0"/>
                  <w:vAlign w:val="center"/>
                </w:tcPr>
                <w:p w14:paraId="6110EA51">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G1</w:t>
                  </w:r>
                </w:p>
              </w:tc>
              <w:tc>
                <w:tcPr>
                  <w:tcW w:w="1331" w:type="dxa"/>
                  <w:noWrap w:val="0"/>
                  <w:vAlign w:val="top"/>
                </w:tcPr>
                <w:p w14:paraId="0C6F22CA">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非甲烷总烃</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、TVOC</w:t>
                  </w:r>
                </w:p>
              </w:tc>
              <w:tc>
                <w:tcPr>
                  <w:tcW w:w="1550" w:type="dxa"/>
                  <w:noWrap w:val="0"/>
                  <w:vAlign w:val="center"/>
                </w:tcPr>
                <w:p w14:paraId="09914888">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1.253</w:t>
                  </w:r>
                </w:p>
              </w:tc>
              <w:tc>
                <w:tcPr>
                  <w:tcW w:w="1404" w:type="dxa"/>
                  <w:noWrap w:val="0"/>
                  <w:vAlign w:val="center"/>
                </w:tcPr>
                <w:p w14:paraId="42F3D442">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0.0188</w:t>
                  </w:r>
                </w:p>
              </w:tc>
              <w:tc>
                <w:tcPr>
                  <w:tcW w:w="1347" w:type="dxa"/>
                  <w:noWrap w:val="0"/>
                  <w:vAlign w:val="center"/>
                </w:tcPr>
                <w:p w14:paraId="142198A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0.045</w:t>
                  </w:r>
                </w:p>
              </w:tc>
            </w:tr>
            <w:tr w14:paraId="7C7C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top"/>
                </w:tcPr>
                <w:p w14:paraId="261779D0">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1331" w:type="dxa"/>
                  <w:noWrap w:val="0"/>
                  <w:vAlign w:val="top"/>
                </w:tcPr>
                <w:p w14:paraId="660A2BF4">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颗粒物</w:t>
                  </w:r>
                </w:p>
              </w:tc>
              <w:tc>
                <w:tcPr>
                  <w:tcW w:w="1550" w:type="dxa"/>
                  <w:noWrap w:val="0"/>
                  <w:vAlign w:val="center"/>
                </w:tcPr>
                <w:p w14:paraId="67A3F73A">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0.526</w:t>
                  </w:r>
                </w:p>
              </w:tc>
              <w:tc>
                <w:tcPr>
                  <w:tcW w:w="1404" w:type="dxa"/>
                  <w:noWrap w:val="0"/>
                  <w:vAlign w:val="center"/>
                </w:tcPr>
                <w:p w14:paraId="61284CE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0.0079</w:t>
                  </w:r>
                </w:p>
              </w:tc>
              <w:tc>
                <w:tcPr>
                  <w:tcW w:w="1347" w:type="dxa"/>
                  <w:noWrap w:val="0"/>
                  <w:vAlign w:val="center"/>
                </w:tcPr>
                <w:p w14:paraId="7993962C">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0.019</w:t>
                  </w:r>
                </w:p>
              </w:tc>
            </w:tr>
            <w:tr w14:paraId="3222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top"/>
                </w:tcPr>
                <w:p w14:paraId="668470ED">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1331" w:type="dxa"/>
                  <w:noWrap w:val="0"/>
                  <w:vAlign w:val="top"/>
                </w:tcPr>
                <w:p w14:paraId="55FFC905">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二氧化硫</w:t>
                  </w:r>
                </w:p>
              </w:tc>
              <w:tc>
                <w:tcPr>
                  <w:tcW w:w="1550" w:type="dxa"/>
                  <w:noWrap w:val="0"/>
                  <w:vAlign w:val="center"/>
                </w:tcPr>
                <w:p w14:paraId="5ABD196D">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0.209</w:t>
                  </w:r>
                </w:p>
              </w:tc>
              <w:tc>
                <w:tcPr>
                  <w:tcW w:w="1404" w:type="dxa"/>
                  <w:noWrap w:val="0"/>
                  <w:vAlign w:val="center"/>
                </w:tcPr>
                <w:p w14:paraId="425318E9">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1347" w:type="dxa"/>
                  <w:noWrap w:val="0"/>
                  <w:vAlign w:val="center"/>
                </w:tcPr>
                <w:p w14:paraId="34C01EB2">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r>
            <w:tr w14:paraId="74E3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top"/>
                </w:tcPr>
                <w:p w14:paraId="520629BE">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1331" w:type="dxa"/>
                  <w:noWrap w:val="0"/>
                  <w:vAlign w:val="top"/>
                </w:tcPr>
                <w:p w14:paraId="26BFB11D">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氮氧化物</w:t>
                  </w:r>
                </w:p>
              </w:tc>
              <w:tc>
                <w:tcPr>
                  <w:tcW w:w="1550" w:type="dxa"/>
                  <w:noWrap w:val="0"/>
                  <w:vAlign w:val="center"/>
                </w:tcPr>
                <w:p w14:paraId="781D4979">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1.8</w:t>
                  </w:r>
                </w:p>
              </w:tc>
              <w:tc>
                <w:tcPr>
                  <w:tcW w:w="1404" w:type="dxa"/>
                  <w:noWrap w:val="0"/>
                  <w:vAlign w:val="center"/>
                </w:tcPr>
                <w:p w14:paraId="151B5822">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0.027</w:t>
                  </w:r>
                </w:p>
              </w:tc>
              <w:tc>
                <w:tcPr>
                  <w:tcW w:w="1347" w:type="dxa"/>
                  <w:noWrap w:val="0"/>
                  <w:vAlign w:val="center"/>
                </w:tcPr>
                <w:p w14:paraId="259DA431">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0.0648</w:t>
                  </w:r>
                </w:p>
              </w:tc>
            </w:tr>
            <w:tr w14:paraId="41A1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top"/>
                </w:tcPr>
                <w:p w14:paraId="2A5FCA5D">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1331" w:type="dxa"/>
                  <w:noWrap w:val="0"/>
                  <w:vAlign w:val="top"/>
                </w:tcPr>
                <w:p w14:paraId="527D1CF4">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林格曼黑度</w:t>
                  </w:r>
                </w:p>
              </w:tc>
              <w:tc>
                <w:tcPr>
                  <w:tcW w:w="1550" w:type="dxa"/>
                  <w:noWrap w:val="0"/>
                  <w:vAlign w:val="center"/>
                </w:tcPr>
                <w:p w14:paraId="369E8B34">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＜1级</w:t>
                  </w:r>
                </w:p>
              </w:tc>
              <w:tc>
                <w:tcPr>
                  <w:tcW w:w="1404" w:type="dxa"/>
                  <w:noWrap w:val="0"/>
                  <w:vAlign w:val="center"/>
                </w:tcPr>
                <w:p w14:paraId="6D5858AC">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347" w:type="dxa"/>
                  <w:noWrap w:val="0"/>
                  <w:vAlign w:val="center"/>
                </w:tcPr>
                <w:p w14:paraId="580850A6">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r>
            <w:tr w14:paraId="0DCE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top"/>
                </w:tcPr>
                <w:p w14:paraId="2C3C6DB4">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1331" w:type="dxa"/>
                  <w:noWrap w:val="0"/>
                  <w:vAlign w:val="top"/>
                </w:tcPr>
                <w:p w14:paraId="46AA31B8">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臭气浓度</w:t>
                  </w:r>
                </w:p>
              </w:tc>
              <w:tc>
                <w:tcPr>
                  <w:tcW w:w="1550" w:type="dxa"/>
                  <w:noWrap w:val="0"/>
                  <w:vAlign w:val="center"/>
                </w:tcPr>
                <w:p w14:paraId="6BC468CE">
                  <w:pPr>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404" w:type="dxa"/>
                  <w:noWrap w:val="0"/>
                  <w:vAlign w:val="center"/>
                </w:tcPr>
                <w:p w14:paraId="1DF11232">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347" w:type="dxa"/>
                  <w:noWrap w:val="0"/>
                  <w:vAlign w:val="center"/>
                </w:tcPr>
                <w:p w14:paraId="67E90641">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r>
            <w:tr w14:paraId="4481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268" w:type="dxa"/>
                  <w:vMerge w:val="restart"/>
                  <w:noWrap w:val="0"/>
                  <w:vAlign w:val="center"/>
                </w:tcPr>
                <w:p w14:paraId="6640F868">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一般排放口合计</w:t>
                  </w:r>
                </w:p>
              </w:tc>
              <w:tc>
                <w:tcPr>
                  <w:tcW w:w="4285" w:type="dxa"/>
                  <w:gridSpan w:val="3"/>
                  <w:noWrap w:val="0"/>
                  <w:vAlign w:val="center"/>
                </w:tcPr>
                <w:p w14:paraId="17E29331">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非甲烷总烃、</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TVOC</w:t>
                  </w:r>
                </w:p>
              </w:tc>
              <w:tc>
                <w:tcPr>
                  <w:tcW w:w="1347" w:type="dxa"/>
                  <w:noWrap w:val="0"/>
                  <w:vAlign w:val="center"/>
                </w:tcPr>
                <w:p w14:paraId="2E612CC8">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0.045</w:t>
                  </w:r>
                </w:p>
              </w:tc>
            </w:tr>
            <w:tr w14:paraId="5D1E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268" w:type="dxa"/>
                  <w:vMerge w:val="continue"/>
                  <w:noWrap w:val="0"/>
                  <w:vAlign w:val="top"/>
                </w:tcPr>
                <w:p w14:paraId="3E337F2B">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4285" w:type="dxa"/>
                  <w:gridSpan w:val="3"/>
                  <w:noWrap w:val="0"/>
                  <w:vAlign w:val="center"/>
                </w:tcPr>
                <w:p w14:paraId="145B9302">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颗粒物</w:t>
                  </w:r>
                </w:p>
              </w:tc>
              <w:tc>
                <w:tcPr>
                  <w:tcW w:w="1347" w:type="dxa"/>
                  <w:noWrap w:val="0"/>
                  <w:vAlign w:val="center"/>
                </w:tcPr>
                <w:p w14:paraId="4BB24B6A">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0.019</w:t>
                  </w:r>
                </w:p>
              </w:tc>
            </w:tr>
            <w:tr w14:paraId="7AEC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8" w:type="dxa"/>
                  <w:vMerge w:val="continue"/>
                  <w:noWrap w:val="0"/>
                  <w:vAlign w:val="top"/>
                </w:tcPr>
                <w:p w14:paraId="1A18BDD1">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4285" w:type="dxa"/>
                  <w:gridSpan w:val="3"/>
                  <w:noWrap w:val="0"/>
                  <w:vAlign w:val="center"/>
                </w:tcPr>
                <w:p w14:paraId="03681E6A">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二氧化硫</w:t>
                  </w:r>
                </w:p>
              </w:tc>
              <w:tc>
                <w:tcPr>
                  <w:tcW w:w="1347" w:type="dxa"/>
                  <w:noWrap w:val="0"/>
                  <w:vAlign w:val="center"/>
                </w:tcPr>
                <w:p w14:paraId="62DB0F2A">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r>
            <w:tr w14:paraId="17CA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268" w:type="dxa"/>
                  <w:vMerge w:val="continue"/>
                  <w:noWrap w:val="0"/>
                  <w:vAlign w:val="top"/>
                </w:tcPr>
                <w:p w14:paraId="0B17F25B">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4285" w:type="dxa"/>
                  <w:gridSpan w:val="3"/>
                  <w:noWrap w:val="0"/>
                  <w:vAlign w:val="center"/>
                </w:tcPr>
                <w:p w14:paraId="4BCCB707">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氮氧化物</w:t>
                  </w:r>
                </w:p>
              </w:tc>
              <w:tc>
                <w:tcPr>
                  <w:tcW w:w="1347" w:type="dxa"/>
                  <w:noWrap w:val="0"/>
                  <w:vAlign w:val="center"/>
                </w:tcPr>
                <w:p w14:paraId="523A979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0.0648</w:t>
                  </w:r>
                </w:p>
              </w:tc>
            </w:tr>
            <w:tr w14:paraId="50C0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268" w:type="dxa"/>
                  <w:vMerge w:val="continue"/>
                  <w:noWrap w:val="0"/>
                  <w:vAlign w:val="top"/>
                </w:tcPr>
                <w:p w14:paraId="63024728">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4285" w:type="dxa"/>
                  <w:gridSpan w:val="3"/>
                  <w:noWrap w:val="0"/>
                  <w:vAlign w:val="center"/>
                </w:tcPr>
                <w:p w14:paraId="32B6F345">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林格曼黑度</w:t>
                  </w:r>
                </w:p>
              </w:tc>
              <w:tc>
                <w:tcPr>
                  <w:tcW w:w="1347" w:type="dxa"/>
                  <w:noWrap w:val="0"/>
                  <w:vAlign w:val="center"/>
                </w:tcPr>
                <w:p w14:paraId="5EE521C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r>
            <w:tr w14:paraId="3CD4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268" w:type="dxa"/>
                  <w:vMerge w:val="continue"/>
                  <w:noWrap w:val="0"/>
                  <w:vAlign w:val="top"/>
                </w:tcPr>
                <w:p w14:paraId="1821836A">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4285" w:type="dxa"/>
                  <w:gridSpan w:val="3"/>
                  <w:noWrap w:val="0"/>
                  <w:vAlign w:val="center"/>
                </w:tcPr>
                <w:p w14:paraId="504CD340">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臭气浓度</w:t>
                  </w:r>
                </w:p>
              </w:tc>
              <w:tc>
                <w:tcPr>
                  <w:tcW w:w="1347" w:type="dxa"/>
                  <w:noWrap w:val="0"/>
                  <w:vAlign w:val="center"/>
                </w:tcPr>
                <w:p w14:paraId="58C58461">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r>
          </w:tbl>
          <w:p w14:paraId="3545DDC0">
            <w:pPr>
              <w:shd w:val="clear"/>
              <w:adjustRightInd w:val="0"/>
              <w:snapToGrid w:val="0"/>
              <w:spacing w:line="240" w:lineRule="auto"/>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p>
          <w:p w14:paraId="25E89B71">
            <w:pPr>
              <w:shd w:val="clear"/>
              <w:adjustRightInd w:val="0"/>
              <w:snapToGrid w:val="0"/>
              <w:spacing w:line="360" w:lineRule="auto"/>
              <w:ind w:firstLine="482" w:firstLineChars="200"/>
              <w:jc w:val="cente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表2</w:t>
            </w:r>
            <w:r>
              <w:rPr>
                <w:rFonts w:hint="eastAsia" w:cs="Times New Roman"/>
                <w:b/>
                <w:bCs/>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大气污染物无组织排放核算表</w:t>
            </w:r>
          </w:p>
          <w:tbl>
            <w:tblPr>
              <w:tblStyle w:val="34"/>
              <w:tblW w:w="6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806"/>
              <w:gridCol w:w="1009"/>
              <w:gridCol w:w="1896"/>
              <w:gridCol w:w="1234"/>
              <w:gridCol w:w="1090"/>
            </w:tblGrid>
            <w:tr w14:paraId="3E524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Merge w:val="restart"/>
                  <w:noWrap w:val="0"/>
                  <w:vAlign w:val="center"/>
                </w:tcPr>
                <w:p w14:paraId="534A35C0">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产污环节</w:t>
                  </w:r>
                </w:p>
              </w:tc>
              <w:tc>
                <w:tcPr>
                  <w:tcW w:w="806" w:type="dxa"/>
                  <w:vMerge w:val="restart"/>
                  <w:noWrap w:val="0"/>
                  <w:vAlign w:val="center"/>
                </w:tcPr>
                <w:p w14:paraId="75AC3258">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污染物</w:t>
                  </w:r>
                </w:p>
              </w:tc>
              <w:tc>
                <w:tcPr>
                  <w:tcW w:w="1009" w:type="dxa"/>
                  <w:vMerge w:val="restart"/>
                  <w:noWrap w:val="0"/>
                  <w:vAlign w:val="center"/>
                </w:tcPr>
                <w:p w14:paraId="7DA9A20C">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主要污染防治措施</w:t>
                  </w:r>
                </w:p>
              </w:tc>
              <w:tc>
                <w:tcPr>
                  <w:tcW w:w="3130" w:type="dxa"/>
                  <w:gridSpan w:val="2"/>
                  <w:noWrap w:val="0"/>
                  <w:vAlign w:val="center"/>
                </w:tcPr>
                <w:p w14:paraId="238607F9">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lang w:bidi="ar"/>
                      <w14:textFill>
                        <w14:solidFill>
                          <w14:schemeClr w14:val="tx1"/>
                        </w14:solidFill>
                      </w14:textFill>
                    </w:rPr>
                    <w:t>国家或地方污染物排放标准</w:t>
                  </w:r>
                </w:p>
              </w:tc>
              <w:tc>
                <w:tcPr>
                  <w:tcW w:w="1090" w:type="dxa"/>
                  <w:vMerge w:val="restart"/>
                  <w:noWrap w:val="0"/>
                  <w:vAlign w:val="center"/>
                </w:tcPr>
                <w:p w14:paraId="17DC2A87">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b/>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lang w:bidi="ar"/>
                      <w14:textFill>
                        <w14:solidFill>
                          <w14:schemeClr w14:val="tx1"/>
                        </w14:solidFill>
                      </w14:textFill>
                    </w:rPr>
                    <w:t>年排放量</w:t>
                  </w:r>
                  <w:r>
                    <w:rPr>
                      <w:rFonts w:hint="default" w:ascii="Times New Roman" w:hAnsi="Times New Roman" w:eastAsia="宋体" w:cs="Times New Roman"/>
                      <w:b/>
                      <w:color w:val="000000" w:themeColor="text1"/>
                      <w:kern w:val="0"/>
                      <w:sz w:val="21"/>
                      <w:szCs w:val="21"/>
                      <w:highlight w:val="none"/>
                      <w:lang w:val="en-US" w:eastAsia="zh-CN" w:bidi="ar"/>
                      <w14:textFill>
                        <w14:solidFill>
                          <w14:schemeClr w14:val="tx1"/>
                        </w14:solidFill>
                      </w14:textFill>
                    </w:rPr>
                    <w:t>(t/a)</w:t>
                  </w:r>
                </w:p>
              </w:tc>
            </w:tr>
            <w:tr w14:paraId="0922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Merge w:val="continue"/>
                  <w:noWrap w:val="0"/>
                  <w:vAlign w:val="center"/>
                </w:tcPr>
                <w:p w14:paraId="340E9CB6">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p>
              </w:tc>
              <w:tc>
                <w:tcPr>
                  <w:tcW w:w="806" w:type="dxa"/>
                  <w:vMerge w:val="continue"/>
                  <w:noWrap w:val="0"/>
                  <w:vAlign w:val="center"/>
                </w:tcPr>
                <w:p w14:paraId="06D9F4A7">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p>
              </w:tc>
              <w:tc>
                <w:tcPr>
                  <w:tcW w:w="1009" w:type="dxa"/>
                  <w:vMerge w:val="continue"/>
                  <w:noWrap w:val="0"/>
                  <w:vAlign w:val="center"/>
                </w:tcPr>
                <w:p w14:paraId="6C944DCE">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p>
              </w:tc>
              <w:tc>
                <w:tcPr>
                  <w:tcW w:w="1896" w:type="dxa"/>
                  <w:noWrap w:val="0"/>
                  <w:vAlign w:val="center"/>
                </w:tcPr>
                <w:p w14:paraId="43390CFC">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lang w:bidi="ar"/>
                      <w14:textFill>
                        <w14:solidFill>
                          <w14:schemeClr w14:val="tx1"/>
                        </w14:solidFill>
                      </w14:textFill>
                    </w:rPr>
                    <w:t>标准名称</w:t>
                  </w:r>
                </w:p>
              </w:tc>
              <w:tc>
                <w:tcPr>
                  <w:tcW w:w="1234" w:type="dxa"/>
                  <w:noWrap w:val="0"/>
                  <w:vAlign w:val="center"/>
                </w:tcPr>
                <w:p w14:paraId="55CF8242">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浓度限值（</w:t>
                  </w:r>
                  <w:r>
                    <w:rPr>
                      <w:rFonts w:hint="eastAsia" w:cs="Times New Roman"/>
                      <w:b/>
                      <w:color w:val="000000" w:themeColor="text1"/>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lang w:val="zh-CN"/>
                      <w14:textFill>
                        <w14:solidFill>
                          <w14:schemeClr w14:val="tx1"/>
                        </w14:solidFill>
                      </w14:textFill>
                    </w:rPr>
                    <w:t>g</w:t>
                  </w: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/m</w:t>
                  </w:r>
                  <w:r>
                    <w:rPr>
                      <w:rFonts w:hint="default" w:ascii="Times New Roman" w:hAnsi="Times New Roman" w:eastAsia="宋体" w:cs="Times New Roman"/>
                      <w:b/>
                      <w:color w:val="000000" w:themeColor="text1"/>
                      <w:sz w:val="21"/>
                      <w:szCs w:val="21"/>
                      <w:highlight w:val="none"/>
                      <w:vertAlign w:val="superscript"/>
                      <w:lang w:val="zh-CN" w:bidi="ar"/>
                      <w14:textFill>
                        <w14:solidFill>
                          <w14:schemeClr w14:val="tx1"/>
                        </w14:solidFill>
                      </w14:textFill>
                    </w:rPr>
                    <w:t>3</w:t>
                  </w: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w:t>
                  </w:r>
                </w:p>
              </w:tc>
              <w:tc>
                <w:tcPr>
                  <w:tcW w:w="1090" w:type="dxa"/>
                  <w:vMerge w:val="continue"/>
                  <w:noWrap w:val="0"/>
                  <w:vAlign w:val="center"/>
                </w:tcPr>
                <w:p w14:paraId="2C12717B">
                  <w:pPr>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p>
              </w:tc>
            </w:tr>
            <w:tr w14:paraId="3434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775" w:type="dxa"/>
                  <w:vMerge w:val="restart"/>
                  <w:noWrap w:val="0"/>
                  <w:vAlign w:val="center"/>
                </w:tcPr>
                <w:p w14:paraId="535C20CD">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脱模</w:t>
                  </w:r>
                </w:p>
              </w:tc>
              <w:tc>
                <w:tcPr>
                  <w:tcW w:w="806" w:type="dxa"/>
                  <w:noWrap w:val="0"/>
                  <w:vAlign w:val="center"/>
                </w:tcPr>
                <w:p w14:paraId="681219B5">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臭气浓度</w:t>
                  </w:r>
                </w:p>
              </w:tc>
              <w:tc>
                <w:tcPr>
                  <w:tcW w:w="1009" w:type="dxa"/>
                  <w:noWrap w:val="0"/>
                  <w:vAlign w:val="center"/>
                </w:tcPr>
                <w:p w14:paraId="50398BCA">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noWrap w:val="0"/>
                  <w:vAlign w:val="center"/>
                </w:tcPr>
                <w:p w14:paraId="4AC4F8B9">
                  <w:pPr>
                    <w:shd w:val="clear"/>
                    <w:adjustRightInd w:val="0"/>
                    <w:snapToGrid w:val="0"/>
                    <w:spacing w:line="240" w:lineRule="auto"/>
                    <w:jc w:val="center"/>
                    <w:rPr>
                      <w:rFonts w:hint="default" w:ascii="Times New Roman" w:hAnsi="Times New Roman" w:eastAsia="宋体" w:cs="Times New Roman"/>
                      <w:b w:val="0"/>
                      <w:bCs w:val="0"/>
                      <w:color w:val="000000" w:themeColor="text1"/>
                      <w:kern w:val="0"/>
                      <w:sz w:val="21"/>
                      <w:szCs w:val="21"/>
                      <w:highlight w:val="none"/>
                      <w:lang w:val="zh-CN" w:bidi="ar"/>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《恶臭污染物排放标准》</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(GB14554-93)</w:t>
                  </w:r>
                  <w:r>
                    <w:rPr>
                      <w:rFonts w:hint="eastAsia" w:ascii="宋体" w:hAnsi="宋体" w:eastAsia="宋体" w:cs="宋体"/>
                      <w:color w:val="000000" w:themeColor="text1"/>
                      <w:kern w:val="0"/>
                      <w:sz w:val="21"/>
                      <w:szCs w:val="21"/>
                      <w:lang w:val="en-US" w:eastAsia="zh-CN" w:bidi="ar"/>
                      <w14:textFill>
                        <w14:solidFill>
                          <w14:schemeClr w14:val="tx1"/>
                        </w14:solidFill>
                      </w14:textFill>
                    </w:rPr>
                    <w:t>表</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r>
                    <w:rPr>
                      <w:rFonts w:hint="eastAsia" w:ascii="宋体" w:hAnsi="宋体" w:eastAsia="宋体" w:cs="宋体"/>
                      <w:color w:val="000000" w:themeColor="text1"/>
                      <w:kern w:val="0"/>
                      <w:sz w:val="21"/>
                      <w:szCs w:val="21"/>
                      <w:lang w:val="en-US" w:eastAsia="zh-CN" w:bidi="ar"/>
                      <w14:textFill>
                        <w14:solidFill>
                          <w14:schemeClr w14:val="tx1"/>
                        </w14:solidFill>
                      </w14:textFill>
                    </w:rPr>
                    <w:t>恶臭污染物厂界标准值</w:t>
                  </w:r>
                </w:p>
              </w:tc>
              <w:tc>
                <w:tcPr>
                  <w:tcW w:w="1234" w:type="dxa"/>
                  <w:noWrap w:val="0"/>
                  <w:vAlign w:val="center"/>
                </w:tcPr>
                <w:p w14:paraId="3583B14C">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20</w:t>
                  </w:r>
                  <w:r>
                    <w:rPr>
                      <w:rFonts w:hint="eastAsia" w:ascii="宋体" w:hAnsi="宋体" w:eastAsia="宋体" w:cs="宋体"/>
                      <w:color w:val="000000" w:themeColor="text1"/>
                      <w:kern w:val="0"/>
                      <w:sz w:val="21"/>
                      <w:szCs w:val="21"/>
                      <w:lang w:val="en-US" w:eastAsia="zh-CN" w:bidi="ar"/>
                      <w14:textFill>
                        <w14:solidFill>
                          <w14:schemeClr w14:val="tx1"/>
                        </w14:solidFill>
                      </w14:textFill>
                    </w:rPr>
                    <w:t>（无量纲）</w:t>
                  </w:r>
                </w:p>
              </w:tc>
              <w:tc>
                <w:tcPr>
                  <w:tcW w:w="1090" w:type="dxa"/>
                  <w:noWrap w:val="0"/>
                  <w:vAlign w:val="center"/>
                </w:tcPr>
                <w:p w14:paraId="148353BB">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r>
            <w:tr w14:paraId="13E1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775" w:type="dxa"/>
                  <w:vMerge w:val="continue"/>
                  <w:noWrap w:val="0"/>
                  <w:vAlign w:val="center"/>
                </w:tcPr>
                <w:p w14:paraId="3232CA04">
                  <w:pPr>
                    <w:shd w:val="clear"/>
                    <w:adjustRightInd w:val="0"/>
                    <w:snapToGrid w:val="0"/>
                    <w:spacing w:line="240" w:lineRule="auto"/>
                    <w:jc w:val="center"/>
                    <w:rPr>
                      <w:color w:val="000000" w:themeColor="text1"/>
                      <w:sz w:val="21"/>
                      <w:szCs w:val="21"/>
                      <w14:textFill>
                        <w14:solidFill>
                          <w14:schemeClr w14:val="tx1"/>
                        </w14:solidFill>
                      </w14:textFill>
                    </w:rPr>
                  </w:pPr>
                </w:p>
              </w:tc>
              <w:tc>
                <w:tcPr>
                  <w:tcW w:w="806" w:type="dxa"/>
                  <w:shd w:val="clear" w:color="auto" w:fill="auto"/>
                  <w:noWrap w:val="0"/>
                  <w:vAlign w:val="center"/>
                </w:tcPr>
                <w:p w14:paraId="0E5AABC6">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非甲烷总烃</w:t>
                  </w:r>
                </w:p>
              </w:tc>
              <w:tc>
                <w:tcPr>
                  <w:tcW w:w="1009" w:type="dxa"/>
                  <w:shd w:val="clear" w:color="auto" w:fill="auto"/>
                  <w:noWrap w:val="0"/>
                  <w:vAlign w:val="center"/>
                </w:tcPr>
                <w:p w14:paraId="29DDF29E">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restart"/>
                  <w:noWrap w:val="0"/>
                  <w:vAlign w:val="center"/>
                </w:tcPr>
                <w:p w14:paraId="6D3BB5D9">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《大气污染物排放限值》</w:t>
                  </w:r>
                  <w:r>
                    <w:rPr>
                      <w:rFonts w:hint="eastAsia"/>
                      <w:color w:val="000000" w:themeColor="text1"/>
                      <w:sz w:val="21"/>
                      <w:szCs w:val="21"/>
                      <w:highlight w:val="none"/>
                      <w:lang w:val="en-US" w:eastAsia="zh-CN"/>
                      <w14:textFill>
                        <w14:solidFill>
                          <w14:schemeClr w14:val="tx1"/>
                        </w14:solidFill>
                      </w14:textFill>
                    </w:rPr>
                    <w:t>（DB44/27-2001）表2第二时段无组织排放监控浓度限值较严值</w:t>
                  </w:r>
                </w:p>
              </w:tc>
              <w:tc>
                <w:tcPr>
                  <w:tcW w:w="1234" w:type="dxa"/>
                  <w:noWrap w:val="0"/>
                  <w:vAlign w:val="center"/>
                </w:tcPr>
                <w:p w14:paraId="0E05BC26">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4</w:t>
                  </w:r>
                </w:p>
              </w:tc>
              <w:tc>
                <w:tcPr>
                  <w:tcW w:w="1090" w:type="dxa"/>
                  <w:noWrap w:val="0"/>
                  <w:vAlign w:val="center"/>
                </w:tcPr>
                <w:p w14:paraId="41259B1A">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0.105</w:t>
                  </w:r>
                </w:p>
              </w:tc>
            </w:tr>
            <w:tr w14:paraId="7FB0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775" w:type="dxa"/>
                  <w:noWrap w:val="0"/>
                  <w:vAlign w:val="center"/>
                </w:tcPr>
                <w:p w14:paraId="0A3AA0B8">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熔融、压铸</w:t>
                  </w:r>
                </w:p>
              </w:tc>
              <w:tc>
                <w:tcPr>
                  <w:tcW w:w="806" w:type="dxa"/>
                  <w:noWrap w:val="0"/>
                  <w:vAlign w:val="center"/>
                </w:tcPr>
                <w:p w14:paraId="2824E6C5">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颗粒物</w:t>
                  </w:r>
                </w:p>
              </w:tc>
              <w:tc>
                <w:tcPr>
                  <w:tcW w:w="1009" w:type="dxa"/>
                  <w:noWrap w:val="0"/>
                  <w:vAlign w:val="center"/>
                </w:tcPr>
                <w:p w14:paraId="2DCC0ECD">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continue"/>
                  <w:noWrap w:val="0"/>
                  <w:vAlign w:val="center"/>
                </w:tcPr>
                <w:p w14:paraId="61BFD521">
                  <w:pPr>
                    <w:shd w:val="clear"/>
                    <w:adjustRightInd w:val="0"/>
                    <w:snapToGrid w:val="0"/>
                    <w:spacing w:line="240" w:lineRule="auto"/>
                    <w:jc w:val="center"/>
                    <w:rPr>
                      <w:rFonts w:hint="default" w:ascii="Times New Roman" w:hAnsi="Times New Roman" w:eastAsia="宋体" w:cs="Times New Roman"/>
                      <w:b w:val="0"/>
                      <w:bCs w:val="0"/>
                      <w:color w:val="000000" w:themeColor="text1"/>
                      <w:kern w:val="0"/>
                      <w:sz w:val="21"/>
                      <w:szCs w:val="21"/>
                      <w:highlight w:val="none"/>
                      <w:lang w:val="zh-CN" w:bidi="ar"/>
                      <w14:textFill>
                        <w14:solidFill>
                          <w14:schemeClr w14:val="tx1"/>
                        </w14:solidFill>
                      </w14:textFill>
                    </w:rPr>
                  </w:pPr>
                </w:p>
              </w:tc>
              <w:tc>
                <w:tcPr>
                  <w:tcW w:w="1234" w:type="dxa"/>
                  <w:vMerge w:val="restart"/>
                  <w:noWrap w:val="0"/>
                  <w:vAlign w:val="center"/>
                </w:tcPr>
                <w:p w14:paraId="7E3F95B6">
                  <w:pPr>
                    <w:shd w:val="clear"/>
                    <w:adjustRightInd w:val="0"/>
                    <w:snapToGrid w:val="0"/>
                    <w:spacing w:line="240" w:lineRule="auto"/>
                    <w:jc w:val="center"/>
                    <w:rPr>
                      <w:rFonts w:hint="eastAsia"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
                      <w14:textFill>
                        <w14:solidFill>
                          <w14:schemeClr w14:val="tx1"/>
                        </w14:solidFill>
                      </w14:textFill>
                    </w:rPr>
                    <w:t>1</w:t>
                  </w:r>
                </w:p>
              </w:tc>
              <w:tc>
                <w:tcPr>
                  <w:tcW w:w="1090" w:type="dxa"/>
                  <w:vMerge w:val="restart"/>
                  <w:noWrap w:val="0"/>
                  <w:vAlign w:val="center"/>
                </w:tcPr>
                <w:p w14:paraId="42D6A120">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0.2166</w:t>
                  </w:r>
                </w:p>
              </w:tc>
            </w:tr>
            <w:tr w14:paraId="5F80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75" w:type="dxa"/>
                  <w:vMerge w:val="restart"/>
                  <w:noWrap w:val="0"/>
                  <w:vAlign w:val="center"/>
                </w:tcPr>
                <w:p w14:paraId="213D36AD">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液化石油气燃烧</w:t>
                  </w:r>
                </w:p>
              </w:tc>
              <w:tc>
                <w:tcPr>
                  <w:tcW w:w="806" w:type="dxa"/>
                  <w:noWrap w:val="0"/>
                  <w:vAlign w:val="center"/>
                </w:tcPr>
                <w:p w14:paraId="419841E1">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颗粒物</w:t>
                  </w:r>
                </w:p>
              </w:tc>
              <w:tc>
                <w:tcPr>
                  <w:tcW w:w="1009" w:type="dxa"/>
                  <w:noWrap w:val="0"/>
                  <w:vAlign w:val="center"/>
                </w:tcPr>
                <w:p w14:paraId="389BD5FE">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continue"/>
                  <w:noWrap w:val="0"/>
                  <w:vAlign w:val="center"/>
                </w:tcPr>
                <w:p w14:paraId="6ED15DE5">
                  <w:pPr>
                    <w:shd w:val="clear"/>
                    <w:adjustRightInd w:val="0"/>
                    <w:snapToGrid w:val="0"/>
                    <w:spacing w:line="240" w:lineRule="auto"/>
                    <w:jc w:val="center"/>
                    <w:rPr>
                      <w:rFonts w:hint="eastAsia"/>
                      <w:color w:val="000000" w:themeColor="text1"/>
                      <w:sz w:val="21"/>
                      <w:szCs w:val="21"/>
                      <w:highlight w:val="none"/>
                      <w14:textFill>
                        <w14:solidFill>
                          <w14:schemeClr w14:val="tx1"/>
                        </w14:solidFill>
                      </w14:textFill>
                    </w:rPr>
                  </w:pPr>
                </w:p>
              </w:tc>
              <w:tc>
                <w:tcPr>
                  <w:tcW w:w="1234" w:type="dxa"/>
                  <w:vMerge w:val="continue"/>
                  <w:noWrap w:val="0"/>
                  <w:vAlign w:val="center"/>
                </w:tcPr>
                <w:p w14:paraId="3CFA89B7">
                  <w:pPr>
                    <w:shd w:val="clear"/>
                    <w:adjustRightInd w:val="0"/>
                    <w:snapToGrid w:val="0"/>
                    <w:spacing w:line="240" w:lineRule="auto"/>
                    <w:jc w:val="center"/>
                    <w:rPr>
                      <w:rFonts w:hint="eastAsia" w:cs="Times New Roman"/>
                      <w:b w:val="0"/>
                      <w:bCs w:val="0"/>
                      <w:color w:val="000000" w:themeColor="text1"/>
                      <w:kern w:val="0"/>
                      <w:sz w:val="21"/>
                      <w:szCs w:val="21"/>
                      <w:highlight w:val="none"/>
                      <w:lang w:val="en-US" w:eastAsia="zh-CN" w:bidi="ar"/>
                      <w14:textFill>
                        <w14:solidFill>
                          <w14:schemeClr w14:val="tx1"/>
                        </w14:solidFill>
                      </w14:textFill>
                    </w:rPr>
                  </w:pPr>
                </w:p>
              </w:tc>
              <w:tc>
                <w:tcPr>
                  <w:tcW w:w="1090" w:type="dxa"/>
                  <w:vMerge w:val="continue"/>
                  <w:noWrap w:val="0"/>
                  <w:vAlign w:val="center"/>
                </w:tcPr>
                <w:p w14:paraId="4FC190A2">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r>
            <w:tr w14:paraId="5F35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75" w:type="dxa"/>
                  <w:vMerge w:val="continue"/>
                  <w:noWrap w:val="0"/>
                  <w:vAlign w:val="center"/>
                </w:tcPr>
                <w:p w14:paraId="7D5173A8">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color w:val="000000" w:themeColor="text1"/>
                      <w:sz w:val="21"/>
                      <w:szCs w:val="21"/>
                      <w14:textFill>
                        <w14:solidFill>
                          <w14:schemeClr w14:val="tx1"/>
                        </w14:solidFill>
                      </w14:textFill>
                    </w:rPr>
                  </w:pPr>
                </w:p>
              </w:tc>
              <w:tc>
                <w:tcPr>
                  <w:tcW w:w="806" w:type="dxa"/>
                  <w:noWrap w:val="0"/>
                  <w:vAlign w:val="center"/>
                </w:tcPr>
                <w:p w14:paraId="51465C39">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二氧化硫</w:t>
                  </w:r>
                </w:p>
              </w:tc>
              <w:tc>
                <w:tcPr>
                  <w:tcW w:w="1009" w:type="dxa"/>
                  <w:noWrap w:val="0"/>
                  <w:vAlign w:val="center"/>
                </w:tcPr>
                <w:p w14:paraId="62594652">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continue"/>
                  <w:noWrap w:val="0"/>
                  <w:vAlign w:val="center"/>
                </w:tcPr>
                <w:p w14:paraId="6CB14D2C">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1234" w:type="dxa"/>
                  <w:noWrap w:val="0"/>
                  <w:vAlign w:val="center"/>
                </w:tcPr>
                <w:p w14:paraId="5232D031">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0.4</w:t>
                  </w:r>
                </w:p>
              </w:tc>
              <w:tc>
                <w:tcPr>
                  <w:tcW w:w="1090" w:type="dxa"/>
                  <w:noWrap w:val="0"/>
                  <w:vAlign w:val="center"/>
                </w:tcPr>
                <w:p w14:paraId="7295EC4A">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8.4×</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4</w:t>
                  </w:r>
                </w:p>
              </w:tc>
            </w:tr>
            <w:tr w14:paraId="713C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75" w:type="dxa"/>
                  <w:vMerge w:val="continue"/>
                  <w:noWrap w:val="0"/>
                  <w:vAlign w:val="center"/>
                </w:tcPr>
                <w:p w14:paraId="478188C7">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806" w:type="dxa"/>
                  <w:noWrap w:val="0"/>
                  <w:vAlign w:val="center"/>
                </w:tcPr>
                <w:p w14:paraId="6F2977E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氮氧化物</w:t>
                  </w:r>
                </w:p>
              </w:tc>
              <w:tc>
                <w:tcPr>
                  <w:tcW w:w="1009" w:type="dxa"/>
                  <w:noWrap w:val="0"/>
                  <w:vAlign w:val="center"/>
                </w:tcPr>
                <w:p w14:paraId="2F7B2320">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continue"/>
                  <w:noWrap w:val="0"/>
                  <w:vAlign w:val="center"/>
                </w:tcPr>
                <w:p w14:paraId="63D11E7F">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1234" w:type="dxa"/>
                  <w:noWrap w:val="0"/>
                  <w:vAlign w:val="center"/>
                </w:tcPr>
                <w:p w14:paraId="25915D42">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0.12</w:t>
                  </w:r>
                </w:p>
              </w:tc>
              <w:tc>
                <w:tcPr>
                  <w:tcW w:w="1090" w:type="dxa"/>
                  <w:noWrap w:val="0"/>
                  <w:vAlign w:val="center"/>
                </w:tcPr>
                <w:p w14:paraId="7D43676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0.0072</w:t>
                  </w:r>
                </w:p>
              </w:tc>
            </w:tr>
            <w:tr w14:paraId="4B1AF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775" w:type="dxa"/>
                  <w:noWrap w:val="0"/>
                  <w:vAlign w:val="center"/>
                </w:tcPr>
                <w:p w14:paraId="556D1676">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研磨</w:t>
                  </w:r>
                </w:p>
              </w:tc>
              <w:tc>
                <w:tcPr>
                  <w:tcW w:w="806" w:type="dxa"/>
                  <w:noWrap w:val="0"/>
                  <w:vAlign w:val="center"/>
                </w:tcPr>
                <w:p w14:paraId="2BFABD8B">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颗粒物</w:t>
                  </w:r>
                </w:p>
              </w:tc>
              <w:tc>
                <w:tcPr>
                  <w:tcW w:w="1009" w:type="dxa"/>
                  <w:noWrap w:val="0"/>
                  <w:vAlign w:val="center"/>
                </w:tcPr>
                <w:p w14:paraId="3DD69DCF">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continue"/>
                  <w:noWrap w:val="0"/>
                  <w:vAlign w:val="center"/>
                </w:tcPr>
                <w:p w14:paraId="4B8F425E">
                  <w:pPr>
                    <w:shd w:val="clear"/>
                    <w:adjustRightInd w:val="0"/>
                    <w:snapToGrid w:val="0"/>
                    <w:spacing w:line="240" w:lineRule="auto"/>
                    <w:jc w:val="center"/>
                    <w:rPr>
                      <w:rFonts w:hint="eastAsia"/>
                      <w:color w:val="000000" w:themeColor="text1"/>
                      <w:sz w:val="21"/>
                      <w:szCs w:val="21"/>
                      <w:highlight w:val="none"/>
                      <w14:textFill>
                        <w14:solidFill>
                          <w14:schemeClr w14:val="tx1"/>
                        </w14:solidFill>
                      </w14:textFill>
                    </w:rPr>
                  </w:pPr>
                </w:p>
              </w:tc>
              <w:tc>
                <w:tcPr>
                  <w:tcW w:w="1234" w:type="dxa"/>
                  <w:noWrap w:val="0"/>
                  <w:vAlign w:val="center"/>
                </w:tcPr>
                <w:p w14:paraId="38E156B1">
                  <w:pPr>
                    <w:shd w:val="clear"/>
                    <w:adjustRightInd w:val="0"/>
                    <w:snapToGrid w:val="0"/>
                    <w:spacing w:line="240" w:lineRule="auto"/>
                    <w:jc w:val="center"/>
                    <w:rPr>
                      <w:rFonts w:hint="default" w:cs="Times New Roman"/>
                      <w:b w:val="0"/>
                      <w:bCs w:val="0"/>
                      <w:color w:val="000000" w:themeColor="text1"/>
                      <w:kern w:val="0"/>
                      <w:sz w:val="21"/>
                      <w:szCs w:val="21"/>
                      <w:highlight w:val="no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
                      <w14:textFill>
                        <w14:solidFill>
                          <w14:schemeClr w14:val="tx1"/>
                        </w14:solidFill>
                      </w14:textFill>
                    </w:rPr>
                    <w:t>1</w:t>
                  </w:r>
                </w:p>
              </w:tc>
              <w:tc>
                <w:tcPr>
                  <w:tcW w:w="1090" w:type="dxa"/>
                  <w:noWrap w:val="0"/>
                  <w:vAlign w:val="center"/>
                </w:tcPr>
                <w:p w14:paraId="7EC3AD22">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0.2156</w:t>
                  </w:r>
                </w:p>
              </w:tc>
            </w:tr>
            <w:tr w14:paraId="4A71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75" w:type="dxa"/>
                  <w:noWrap w:val="0"/>
                  <w:vAlign w:val="center"/>
                </w:tcPr>
                <w:p w14:paraId="138860F8">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抛光</w:t>
                  </w:r>
                </w:p>
              </w:tc>
              <w:tc>
                <w:tcPr>
                  <w:tcW w:w="806" w:type="dxa"/>
                  <w:noWrap w:val="0"/>
                  <w:vAlign w:val="center"/>
                </w:tcPr>
                <w:p w14:paraId="0CDF9FBC">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颗粒物</w:t>
                  </w:r>
                </w:p>
              </w:tc>
              <w:tc>
                <w:tcPr>
                  <w:tcW w:w="1009" w:type="dxa"/>
                  <w:noWrap w:val="0"/>
                  <w:vAlign w:val="center"/>
                </w:tcPr>
                <w:p w14:paraId="5D3A6CA8">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continue"/>
                  <w:noWrap w:val="0"/>
                  <w:vAlign w:val="center"/>
                </w:tcPr>
                <w:p w14:paraId="78F14823">
                  <w:pPr>
                    <w:shd w:val="clear"/>
                    <w:adjustRightInd w:val="0"/>
                    <w:snapToGrid w:val="0"/>
                    <w:spacing w:line="240" w:lineRule="auto"/>
                    <w:jc w:val="center"/>
                    <w:rPr>
                      <w:rFonts w:hint="eastAsia"/>
                      <w:color w:val="000000" w:themeColor="text1"/>
                      <w:sz w:val="21"/>
                      <w:szCs w:val="21"/>
                      <w:highlight w:val="none"/>
                      <w14:textFill>
                        <w14:solidFill>
                          <w14:schemeClr w14:val="tx1"/>
                        </w14:solidFill>
                      </w14:textFill>
                    </w:rPr>
                  </w:pPr>
                </w:p>
              </w:tc>
              <w:tc>
                <w:tcPr>
                  <w:tcW w:w="1234" w:type="dxa"/>
                  <w:noWrap w:val="0"/>
                  <w:vAlign w:val="center"/>
                </w:tcPr>
                <w:p w14:paraId="79D01D32">
                  <w:pPr>
                    <w:shd w:val="clear"/>
                    <w:adjustRightInd w:val="0"/>
                    <w:snapToGrid w:val="0"/>
                    <w:spacing w:line="240" w:lineRule="auto"/>
                    <w:jc w:val="center"/>
                    <w:rPr>
                      <w:rFonts w:hint="default" w:cs="Times New Roman"/>
                      <w:b w:val="0"/>
                      <w:bCs w:val="0"/>
                      <w:color w:val="000000" w:themeColor="text1"/>
                      <w:kern w:val="0"/>
                      <w:sz w:val="21"/>
                      <w:szCs w:val="21"/>
                      <w:highlight w:val="no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
                      <w14:textFill>
                        <w14:solidFill>
                          <w14:schemeClr w14:val="tx1"/>
                        </w14:solidFill>
                      </w14:textFill>
                    </w:rPr>
                    <w:t>1</w:t>
                  </w:r>
                </w:p>
              </w:tc>
              <w:tc>
                <w:tcPr>
                  <w:tcW w:w="1090" w:type="dxa"/>
                  <w:noWrap w:val="0"/>
                  <w:vAlign w:val="center"/>
                </w:tcPr>
                <w:p w14:paraId="614C1DFC">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0.2396</w:t>
                  </w:r>
                </w:p>
              </w:tc>
            </w:tr>
            <w:tr w14:paraId="08F0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75" w:type="dxa"/>
                  <w:vMerge w:val="restart"/>
                  <w:noWrap w:val="0"/>
                  <w:vAlign w:val="center"/>
                </w:tcPr>
                <w:p w14:paraId="05AD8D27">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钻孔攻牙</w:t>
                  </w:r>
                </w:p>
              </w:tc>
              <w:tc>
                <w:tcPr>
                  <w:tcW w:w="806" w:type="dxa"/>
                  <w:noWrap w:val="0"/>
                  <w:vAlign w:val="center"/>
                </w:tcPr>
                <w:p w14:paraId="6FA4291F">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非甲烷总烃</w:t>
                  </w:r>
                </w:p>
              </w:tc>
              <w:tc>
                <w:tcPr>
                  <w:tcW w:w="1009" w:type="dxa"/>
                  <w:noWrap w:val="0"/>
                  <w:vAlign w:val="center"/>
                </w:tcPr>
                <w:p w14:paraId="5F147AE5">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continue"/>
                  <w:noWrap w:val="0"/>
                  <w:vAlign w:val="center"/>
                </w:tcPr>
                <w:p w14:paraId="7D731D0F">
                  <w:pPr>
                    <w:shd w:val="clear"/>
                    <w:adjustRightInd w:val="0"/>
                    <w:snapToGrid w:val="0"/>
                    <w:spacing w:line="240" w:lineRule="auto"/>
                    <w:jc w:val="center"/>
                    <w:rPr>
                      <w:rFonts w:hint="eastAsia"/>
                      <w:color w:val="000000" w:themeColor="text1"/>
                      <w:sz w:val="21"/>
                      <w:szCs w:val="21"/>
                      <w:highlight w:val="none"/>
                      <w14:textFill>
                        <w14:solidFill>
                          <w14:schemeClr w14:val="tx1"/>
                        </w14:solidFill>
                      </w14:textFill>
                    </w:rPr>
                  </w:pPr>
                </w:p>
              </w:tc>
              <w:tc>
                <w:tcPr>
                  <w:tcW w:w="1234" w:type="dxa"/>
                  <w:noWrap w:val="0"/>
                  <w:vAlign w:val="center"/>
                </w:tcPr>
                <w:p w14:paraId="0A6EDE91">
                  <w:pPr>
                    <w:shd w:val="clear"/>
                    <w:adjustRightInd w:val="0"/>
                    <w:snapToGrid w:val="0"/>
                    <w:spacing w:line="240" w:lineRule="auto"/>
                    <w:jc w:val="center"/>
                    <w:rPr>
                      <w:rFonts w:hint="default" w:cs="Times New Roman"/>
                      <w:b w:val="0"/>
                      <w:bCs w:val="0"/>
                      <w:color w:val="000000" w:themeColor="text1"/>
                      <w:kern w:val="0"/>
                      <w:sz w:val="21"/>
                      <w:szCs w:val="21"/>
                      <w:highlight w:val="no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
                      <w14:textFill>
                        <w14:solidFill>
                          <w14:schemeClr w14:val="tx1"/>
                        </w14:solidFill>
                      </w14:textFill>
                    </w:rPr>
                    <w:t>4</w:t>
                  </w:r>
                </w:p>
              </w:tc>
              <w:tc>
                <w:tcPr>
                  <w:tcW w:w="1090" w:type="dxa"/>
                  <w:noWrap w:val="0"/>
                  <w:vAlign w:val="center"/>
                </w:tcPr>
                <w:p w14:paraId="4AE44E1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0.0056</w:t>
                  </w:r>
                </w:p>
              </w:tc>
            </w:tr>
            <w:tr w14:paraId="5294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75" w:type="dxa"/>
                  <w:vMerge w:val="continue"/>
                  <w:noWrap w:val="0"/>
                  <w:vAlign w:val="center"/>
                </w:tcPr>
                <w:p w14:paraId="1AE8804F">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color w:val="000000" w:themeColor="text1"/>
                      <w:sz w:val="21"/>
                      <w:szCs w:val="21"/>
                      <w14:textFill>
                        <w14:solidFill>
                          <w14:schemeClr w14:val="tx1"/>
                        </w14:solidFill>
                      </w14:textFill>
                    </w:rPr>
                  </w:pPr>
                </w:p>
              </w:tc>
              <w:tc>
                <w:tcPr>
                  <w:tcW w:w="806" w:type="dxa"/>
                  <w:noWrap w:val="0"/>
                  <w:vAlign w:val="center"/>
                </w:tcPr>
                <w:p w14:paraId="5CAE5BB6">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臭气浓度</w:t>
                  </w:r>
                </w:p>
              </w:tc>
              <w:tc>
                <w:tcPr>
                  <w:tcW w:w="1009" w:type="dxa"/>
                  <w:noWrap w:val="0"/>
                  <w:vAlign w:val="center"/>
                </w:tcPr>
                <w:p w14:paraId="044932F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restart"/>
                  <w:noWrap w:val="0"/>
                  <w:vAlign w:val="center"/>
                </w:tcPr>
                <w:p w14:paraId="536B6F22">
                  <w:pPr>
                    <w:keepNext w:val="0"/>
                    <w:keepLines w:val="0"/>
                    <w:widowControl/>
                    <w:suppressLineNumbers w:val="0"/>
                    <w:jc w:val="cente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《恶臭污染物排放标准》</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(GB14554-93)</w:t>
                  </w:r>
                  <w:r>
                    <w:rPr>
                      <w:rFonts w:hint="eastAsia" w:ascii="宋体" w:hAnsi="宋体" w:eastAsia="宋体" w:cs="宋体"/>
                      <w:color w:val="000000" w:themeColor="text1"/>
                      <w:kern w:val="0"/>
                      <w:sz w:val="21"/>
                      <w:szCs w:val="21"/>
                      <w:lang w:val="en-US" w:eastAsia="zh-CN" w:bidi="ar"/>
                      <w14:textFill>
                        <w14:solidFill>
                          <w14:schemeClr w14:val="tx1"/>
                        </w14:solidFill>
                      </w14:textFill>
                    </w:rPr>
                    <w:t>表</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r>
                    <w:rPr>
                      <w:rFonts w:hint="eastAsia" w:ascii="宋体" w:hAnsi="宋体" w:eastAsia="宋体" w:cs="宋体"/>
                      <w:color w:val="000000" w:themeColor="text1"/>
                      <w:kern w:val="0"/>
                      <w:sz w:val="21"/>
                      <w:szCs w:val="21"/>
                      <w:lang w:val="en-US" w:eastAsia="zh-CN" w:bidi="ar"/>
                      <w14:textFill>
                        <w14:solidFill>
                          <w14:schemeClr w14:val="tx1"/>
                        </w14:solidFill>
                      </w14:textFill>
                    </w:rPr>
                    <w:t>恶臭污染物厂界标准值</w:t>
                  </w:r>
                </w:p>
              </w:tc>
              <w:tc>
                <w:tcPr>
                  <w:tcW w:w="1234" w:type="dxa"/>
                  <w:noWrap w:val="0"/>
                  <w:vAlign w:val="center"/>
                </w:tcPr>
                <w:p w14:paraId="132F9BCD">
                  <w:pPr>
                    <w:keepNext w:val="0"/>
                    <w:keepLines w:val="0"/>
                    <w:widowControl/>
                    <w:suppressLineNumbers w:val="0"/>
                    <w:jc w:val="cente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20</w:t>
                  </w:r>
                  <w:r>
                    <w:rPr>
                      <w:rFonts w:hint="eastAsia" w:ascii="宋体" w:hAnsi="宋体" w:eastAsia="宋体" w:cs="宋体"/>
                      <w:color w:val="000000" w:themeColor="text1"/>
                      <w:kern w:val="0"/>
                      <w:sz w:val="21"/>
                      <w:szCs w:val="21"/>
                      <w:lang w:val="en-US" w:eastAsia="zh-CN" w:bidi="ar"/>
                      <w14:textFill>
                        <w14:solidFill>
                          <w14:schemeClr w14:val="tx1"/>
                        </w14:solidFill>
                      </w14:textFill>
                    </w:rPr>
                    <w:t>（无量纲）</w:t>
                  </w:r>
                </w:p>
              </w:tc>
              <w:tc>
                <w:tcPr>
                  <w:tcW w:w="1090" w:type="dxa"/>
                  <w:noWrap w:val="0"/>
                  <w:vAlign w:val="center"/>
                </w:tcPr>
                <w:p w14:paraId="298699F1">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r>
            <w:tr w14:paraId="0A83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75" w:type="dxa"/>
                  <w:vMerge w:val="restart"/>
                  <w:noWrap w:val="0"/>
                  <w:vAlign w:val="center"/>
                </w:tcPr>
                <w:p w14:paraId="7EDF2494">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机加工</w:t>
                  </w:r>
                </w:p>
              </w:tc>
              <w:tc>
                <w:tcPr>
                  <w:tcW w:w="806" w:type="dxa"/>
                  <w:noWrap w:val="0"/>
                  <w:vAlign w:val="center"/>
                </w:tcPr>
                <w:p w14:paraId="3D655969">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臭气浓度</w:t>
                  </w:r>
                </w:p>
              </w:tc>
              <w:tc>
                <w:tcPr>
                  <w:tcW w:w="1009" w:type="dxa"/>
                  <w:noWrap w:val="0"/>
                  <w:vAlign w:val="center"/>
                </w:tcPr>
                <w:p w14:paraId="7F8453D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continue"/>
                  <w:noWrap w:val="0"/>
                  <w:vAlign w:val="center"/>
                </w:tcPr>
                <w:p w14:paraId="542EF556">
                  <w:pPr>
                    <w:keepNext w:val="0"/>
                    <w:keepLines w:val="0"/>
                    <w:widowControl/>
                    <w:suppressLineNumbers w:val="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p>
              </w:tc>
              <w:tc>
                <w:tcPr>
                  <w:tcW w:w="1234" w:type="dxa"/>
                  <w:noWrap w:val="0"/>
                  <w:vAlign w:val="center"/>
                </w:tcPr>
                <w:p w14:paraId="216078B3">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20</w:t>
                  </w:r>
                  <w:r>
                    <w:rPr>
                      <w:rFonts w:hint="eastAsia" w:ascii="宋体" w:hAnsi="宋体" w:eastAsia="宋体" w:cs="宋体"/>
                      <w:color w:val="000000" w:themeColor="text1"/>
                      <w:kern w:val="0"/>
                      <w:sz w:val="21"/>
                      <w:szCs w:val="21"/>
                      <w:lang w:val="en-US" w:eastAsia="zh-CN" w:bidi="ar"/>
                      <w14:textFill>
                        <w14:solidFill>
                          <w14:schemeClr w14:val="tx1"/>
                        </w14:solidFill>
                      </w14:textFill>
                    </w:rPr>
                    <w:t>（无量纲）</w:t>
                  </w:r>
                </w:p>
              </w:tc>
              <w:tc>
                <w:tcPr>
                  <w:tcW w:w="1090" w:type="dxa"/>
                  <w:noWrap w:val="0"/>
                  <w:vAlign w:val="center"/>
                </w:tcPr>
                <w:p w14:paraId="621CD788">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r>
            <w:tr w14:paraId="5847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5" w:type="dxa"/>
                  <w:vMerge w:val="continue"/>
                  <w:noWrap w:val="0"/>
                  <w:vAlign w:val="center"/>
                </w:tcPr>
                <w:p w14:paraId="6B0A74F8">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olor w:val="000000" w:themeColor="text1"/>
                      <w:sz w:val="21"/>
                      <w:szCs w:val="21"/>
                      <w:lang w:val="en-US" w:eastAsia="zh-CN"/>
                      <w14:textFill>
                        <w14:solidFill>
                          <w14:schemeClr w14:val="tx1"/>
                        </w14:solidFill>
                      </w14:textFill>
                    </w:rPr>
                  </w:pPr>
                </w:p>
              </w:tc>
              <w:tc>
                <w:tcPr>
                  <w:tcW w:w="806" w:type="dxa"/>
                  <w:noWrap w:val="0"/>
                  <w:vAlign w:val="center"/>
                </w:tcPr>
                <w:p w14:paraId="087DC34A">
                  <w:pPr>
                    <w:shd w:val="clear"/>
                    <w:adjustRightInd w:val="0"/>
                    <w:snapToGrid w:val="0"/>
                    <w:spacing w:line="240" w:lineRule="auto"/>
                    <w:jc w:val="cente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颗粒物</w:t>
                  </w:r>
                </w:p>
              </w:tc>
              <w:tc>
                <w:tcPr>
                  <w:tcW w:w="1009" w:type="dxa"/>
                  <w:noWrap w:val="0"/>
                  <w:vAlign w:val="center"/>
                </w:tcPr>
                <w:p w14:paraId="5DC7438A">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restart"/>
                  <w:noWrap w:val="0"/>
                  <w:vAlign w:val="center"/>
                </w:tcPr>
                <w:p w14:paraId="7FA6CD56">
                  <w:pPr>
                    <w:keepNext w:val="0"/>
                    <w:keepLines w:val="0"/>
                    <w:widowControl/>
                    <w:suppressLineNumbers w:val="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color w:val="000000" w:themeColor="text1"/>
                      <w:sz w:val="21"/>
                      <w:szCs w:val="21"/>
                      <w:highlight w:val="none"/>
                      <w14:textFill>
                        <w14:solidFill>
                          <w14:schemeClr w14:val="tx1"/>
                        </w14:solidFill>
                      </w14:textFill>
                    </w:rPr>
                    <w:t>《大气污染物排放限值》</w:t>
                  </w:r>
                  <w:r>
                    <w:rPr>
                      <w:rFonts w:hint="eastAsia"/>
                      <w:color w:val="000000" w:themeColor="text1"/>
                      <w:sz w:val="21"/>
                      <w:szCs w:val="21"/>
                      <w:highlight w:val="none"/>
                      <w:lang w:val="en-US" w:eastAsia="zh-CN"/>
                      <w14:textFill>
                        <w14:solidFill>
                          <w14:schemeClr w14:val="tx1"/>
                        </w14:solidFill>
                      </w14:textFill>
                    </w:rPr>
                    <w:t>（DB44/27-2001）表2第二时段无组织排放监控浓度限值较严值</w:t>
                  </w:r>
                </w:p>
              </w:tc>
              <w:tc>
                <w:tcPr>
                  <w:tcW w:w="1234" w:type="dxa"/>
                  <w:noWrap w:val="0"/>
                  <w:vAlign w:val="center"/>
                </w:tcPr>
                <w:p w14:paraId="4AEB1A19">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1</w:t>
                  </w:r>
                </w:p>
              </w:tc>
              <w:tc>
                <w:tcPr>
                  <w:tcW w:w="1090" w:type="dxa"/>
                  <w:noWrap w:val="0"/>
                  <w:vAlign w:val="center"/>
                </w:tcPr>
                <w:p w14:paraId="7CE81A88">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r>
            <w:tr w14:paraId="2C72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75" w:type="dxa"/>
                  <w:vMerge w:val="continue"/>
                  <w:noWrap w:val="0"/>
                  <w:vAlign w:val="center"/>
                </w:tcPr>
                <w:p w14:paraId="130620D8">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olor w:val="000000" w:themeColor="text1"/>
                      <w:sz w:val="21"/>
                      <w:szCs w:val="21"/>
                      <w:lang w:val="en-US" w:eastAsia="zh-CN"/>
                      <w14:textFill>
                        <w14:solidFill>
                          <w14:schemeClr w14:val="tx1"/>
                        </w14:solidFill>
                      </w14:textFill>
                    </w:rPr>
                  </w:pPr>
                </w:p>
              </w:tc>
              <w:tc>
                <w:tcPr>
                  <w:tcW w:w="806" w:type="dxa"/>
                  <w:noWrap w:val="0"/>
                  <w:vAlign w:val="center"/>
                </w:tcPr>
                <w:p w14:paraId="14383CDE">
                  <w:pPr>
                    <w:shd w:val="clear"/>
                    <w:adjustRightInd w:val="0"/>
                    <w:snapToGrid w:val="0"/>
                    <w:spacing w:line="240" w:lineRule="auto"/>
                    <w:jc w:val="cente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非甲烷总烃</w:t>
                  </w:r>
                </w:p>
              </w:tc>
              <w:tc>
                <w:tcPr>
                  <w:tcW w:w="1009" w:type="dxa"/>
                  <w:noWrap w:val="0"/>
                  <w:vAlign w:val="center"/>
                </w:tcPr>
                <w:p w14:paraId="37150468">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1896" w:type="dxa"/>
                  <w:vMerge w:val="continue"/>
                  <w:noWrap w:val="0"/>
                  <w:vAlign w:val="center"/>
                </w:tcPr>
                <w:p w14:paraId="27A45D8A">
                  <w:pPr>
                    <w:keepNext w:val="0"/>
                    <w:keepLines w:val="0"/>
                    <w:widowControl/>
                    <w:suppressLineNumbers w:val="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p>
              </w:tc>
              <w:tc>
                <w:tcPr>
                  <w:tcW w:w="1234" w:type="dxa"/>
                  <w:noWrap w:val="0"/>
                  <w:vAlign w:val="center"/>
                </w:tcPr>
                <w:p w14:paraId="3F951712">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4</w:t>
                  </w:r>
                </w:p>
              </w:tc>
              <w:tc>
                <w:tcPr>
                  <w:tcW w:w="1090" w:type="dxa"/>
                  <w:noWrap w:val="0"/>
                  <w:vAlign w:val="center"/>
                </w:tcPr>
                <w:p w14:paraId="75B6505F">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r>
            <w:tr w14:paraId="2FFC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0" w:type="dxa"/>
                  <w:gridSpan w:val="6"/>
                  <w:noWrap w:val="0"/>
                  <w:vAlign w:val="center"/>
                </w:tcPr>
                <w:p w14:paraId="67C4FEC5">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无组织排放总计</w:t>
                  </w:r>
                </w:p>
              </w:tc>
            </w:tr>
            <w:tr w14:paraId="5A3F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90" w:type="dxa"/>
                  <w:gridSpan w:val="3"/>
                  <w:vMerge w:val="restart"/>
                  <w:noWrap w:val="0"/>
                  <w:vAlign w:val="center"/>
                </w:tcPr>
                <w:p w14:paraId="546CF891">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无组织排放合计</w:t>
                  </w:r>
                </w:p>
              </w:tc>
              <w:tc>
                <w:tcPr>
                  <w:tcW w:w="3130" w:type="dxa"/>
                  <w:gridSpan w:val="2"/>
                  <w:noWrap w:val="0"/>
                  <w:vAlign w:val="center"/>
                </w:tcPr>
                <w:p w14:paraId="405ABD86">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非甲烷总烃</w:t>
                  </w:r>
                </w:p>
              </w:tc>
              <w:tc>
                <w:tcPr>
                  <w:tcW w:w="1090" w:type="dxa"/>
                  <w:noWrap w:val="0"/>
                  <w:vAlign w:val="center"/>
                </w:tcPr>
                <w:p w14:paraId="1591B0C8">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0.1106</w:t>
                  </w:r>
                </w:p>
              </w:tc>
            </w:tr>
            <w:tr w14:paraId="145F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90" w:type="dxa"/>
                  <w:gridSpan w:val="3"/>
                  <w:vMerge w:val="continue"/>
                  <w:noWrap w:val="0"/>
                  <w:vAlign w:val="center"/>
                </w:tcPr>
                <w:p w14:paraId="69F1A05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3130" w:type="dxa"/>
                  <w:gridSpan w:val="2"/>
                  <w:noWrap w:val="0"/>
                  <w:vAlign w:val="center"/>
                </w:tcPr>
                <w:p w14:paraId="14998E96">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颗粒物</w:t>
                  </w:r>
                </w:p>
              </w:tc>
              <w:tc>
                <w:tcPr>
                  <w:tcW w:w="1090" w:type="dxa"/>
                  <w:noWrap w:val="0"/>
                  <w:vAlign w:val="center"/>
                </w:tcPr>
                <w:p w14:paraId="2E781DA6">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0.6718</w:t>
                  </w:r>
                </w:p>
              </w:tc>
            </w:tr>
            <w:tr w14:paraId="0456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90" w:type="dxa"/>
                  <w:gridSpan w:val="3"/>
                  <w:vMerge w:val="continue"/>
                  <w:noWrap w:val="0"/>
                  <w:vAlign w:val="center"/>
                </w:tcPr>
                <w:p w14:paraId="2D1D3B4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3130" w:type="dxa"/>
                  <w:gridSpan w:val="2"/>
                  <w:noWrap w:val="0"/>
                  <w:vAlign w:val="center"/>
                </w:tcPr>
                <w:p w14:paraId="7B7F3E08">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二氧化硫</w:t>
                  </w:r>
                </w:p>
              </w:tc>
              <w:tc>
                <w:tcPr>
                  <w:tcW w:w="1090" w:type="dxa"/>
                  <w:noWrap w:val="0"/>
                  <w:vAlign w:val="center"/>
                </w:tcPr>
                <w:p w14:paraId="60482941">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8.4×</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4</w:t>
                  </w:r>
                </w:p>
              </w:tc>
            </w:tr>
            <w:tr w14:paraId="7880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90" w:type="dxa"/>
                  <w:gridSpan w:val="3"/>
                  <w:vMerge w:val="continue"/>
                  <w:noWrap w:val="0"/>
                  <w:vAlign w:val="center"/>
                </w:tcPr>
                <w:p w14:paraId="276C7195">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3130" w:type="dxa"/>
                  <w:gridSpan w:val="2"/>
                  <w:noWrap w:val="0"/>
                  <w:vAlign w:val="center"/>
                </w:tcPr>
                <w:p w14:paraId="4CFA8A2C">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氮氧化物</w:t>
                  </w:r>
                </w:p>
              </w:tc>
              <w:tc>
                <w:tcPr>
                  <w:tcW w:w="1090" w:type="dxa"/>
                  <w:noWrap w:val="0"/>
                  <w:vAlign w:val="center"/>
                </w:tcPr>
                <w:p w14:paraId="3BBCCCBA">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0.0072</w:t>
                  </w:r>
                </w:p>
              </w:tc>
            </w:tr>
            <w:tr w14:paraId="6EBE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90" w:type="dxa"/>
                  <w:gridSpan w:val="3"/>
                  <w:vMerge w:val="continue"/>
                  <w:noWrap w:val="0"/>
                  <w:vAlign w:val="center"/>
                </w:tcPr>
                <w:p w14:paraId="2DFBB70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3130" w:type="dxa"/>
                  <w:gridSpan w:val="2"/>
                  <w:noWrap w:val="0"/>
                  <w:vAlign w:val="center"/>
                </w:tcPr>
                <w:p w14:paraId="71CBFAEB">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臭气浓度</w:t>
                  </w:r>
                </w:p>
              </w:tc>
              <w:tc>
                <w:tcPr>
                  <w:tcW w:w="1090" w:type="dxa"/>
                  <w:noWrap w:val="0"/>
                  <w:vAlign w:val="center"/>
                </w:tcPr>
                <w:p w14:paraId="3FADA27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r>
          </w:tbl>
          <w:p w14:paraId="3CA21BFC">
            <w:pPr>
              <w:shd w:val="clear"/>
              <w:adjustRightInd w:val="0"/>
              <w:snapToGrid w:val="0"/>
              <w:spacing w:line="240" w:lineRule="auto"/>
              <w:ind w:firstLine="482"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p>
          <w:p w14:paraId="186B1BB1">
            <w:pPr>
              <w:shd w:val="clear"/>
              <w:adjustRightInd w:val="0"/>
              <w:snapToGrid w:val="0"/>
              <w:spacing w:line="360" w:lineRule="auto"/>
              <w:ind w:firstLine="482" w:firstLineChars="200"/>
              <w:jc w:val="cente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表2</w:t>
            </w:r>
            <w:r>
              <w:rPr>
                <w:rFonts w:hint="eastAsia" w:cs="Times New Roman"/>
                <w:b/>
                <w:bCs/>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大气污染物年排放量核算表</w:t>
            </w:r>
          </w:p>
          <w:tbl>
            <w:tblPr>
              <w:tblStyle w:val="34"/>
              <w:tblW w:w="6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3"/>
              <w:gridCol w:w="1759"/>
              <w:gridCol w:w="1808"/>
              <w:gridCol w:w="1601"/>
            </w:tblGrid>
            <w:tr w14:paraId="782A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14:paraId="548B8EDE">
                  <w:pPr>
                    <w:widowControl/>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zh-CN"/>
                      <w14:textFill>
                        <w14:solidFill>
                          <w14:schemeClr w14:val="tx1"/>
                        </w14:solidFill>
                      </w14:textFill>
                    </w:rPr>
                    <w:t>污染物</w:t>
                  </w:r>
                </w:p>
              </w:tc>
              <w:tc>
                <w:tcPr>
                  <w:tcW w:w="1759" w:type="dxa"/>
                  <w:noWrap w:val="0"/>
                  <w:vAlign w:val="center"/>
                </w:tcPr>
                <w:p w14:paraId="00D1B3A3">
                  <w:pPr>
                    <w:widowControl/>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zh-CN"/>
                      <w14:textFill>
                        <w14:solidFill>
                          <w14:schemeClr w14:val="tx1"/>
                        </w14:solidFill>
                      </w14:textFill>
                    </w:rPr>
                    <w:t>有组织年排放量（t/a）</w:t>
                  </w:r>
                </w:p>
              </w:tc>
              <w:tc>
                <w:tcPr>
                  <w:tcW w:w="1808" w:type="dxa"/>
                  <w:noWrap w:val="0"/>
                  <w:vAlign w:val="center"/>
                </w:tcPr>
                <w:p w14:paraId="0BB09617">
                  <w:pPr>
                    <w:widowControl/>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zh-CN"/>
                      <w14:textFill>
                        <w14:solidFill>
                          <w14:schemeClr w14:val="tx1"/>
                        </w14:solidFill>
                      </w14:textFill>
                    </w:rPr>
                    <w:t>无组织年排放量（t/a）</w:t>
                  </w:r>
                </w:p>
              </w:tc>
              <w:tc>
                <w:tcPr>
                  <w:tcW w:w="1601" w:type="dxa"/>
                  <w:noWrap w:val="0"/>
                  <w:vAlign w:val="center"/>
                </w:tcPr>
                <w:p w14:paraId="6DE27801">
                  <w:pPr>
                    <w:widowControl/>
                    <w:shd w:val="clear"/>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zh-CN"/>
                      <w14:textFill>
                        <w14:solidFill>
                          <w14:schemeClr w14:val="tx1"/>
                        </w14:solidFill>
                      </w14:textFill>
                    </w:rPr>
                    <w:t>年排放量</w:t>
                  </w:r>
                  <w:r>
                    <w:rPr>
                      <w:rFonts w:hint="default" w:ascii="Times New Roman" w:hAnsi="Times New Roman" w:eastAsia="宋体" w:cs="Times New Roman"/>
                      <w:b/>
                      <w:color w:val="000000" w:themeColor="text1"/>
                      <w:sz w:val="21"/>
                      <w:szCs w:val="21"/>
                      <w:highlight w:val="none"/>
                      <w14:textFill>
                        <w14:solidFill>
                          <w14:schemeClr w14:val="tx1"/>
                        </w14:solidFill>
                      </w14:textFill>
                    </w:rPr>
                    <w:t>（t/a）</w:t>
                  </w:r>
                </w:p>
              </w:tc>
            </w:tr>
            <w:tr w14:paraId="058FB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3F742AC3">
                  <w:pPr>
                    <w:pStyle w:val="70"/>
                    <w:shd w:val="clear"/>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非甲烷总烃</w:t>
                  </w:r>
                  <w:r>
                    <w:rPr>
                      <w:rFonts w:hint="eastAsia" w:cs="Times New Roman"/>
                      <w:color w:val="000000" w:themeColor="text1"/>
                      <w:kern w:val="0"/>
                      <w:sz w:val="21"/>
                      <w:szCs w:val="21"/>
                      <w:highlight w:val="none"/>
                      <w:lang w:eastAsia="zh-CN" w:bidi="ar"/>
                      <w14:textFill>
                        <w14:solidFill>
                          <w14:schemeClr w14:val="tx1"/>
                        </w14:solidFill>
                      </w14:textFill>
                    </w:rPr>
                    <w:t>、</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TVOC</w:t>
                  </w:r>
                </w:p>
              </w:tc>
              <w:tc>
                <w:tcPr>
                  <w:tcW w:w="1759" w:type="dxa"/>
                  <w:noWrap w:val="0"/>
                  <w:vAlign w:val="center"/>
                </w:tcPr>
                <w:p w14:paraId="0A5DFB9A">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0.045</w:t>
                  </w:r>
                </w:p>
              </w:tc>
              <w:tc>
                <w:tcPr>
                  <w:tcW w:w="1808" w:type="dxa"/>
                  <w:noWrap w:val="0"/>
                  <w:vAlign w:val="center"/>
                </w:tcPr>
                <w:p w14:paraId="2AA7273D">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0.1106</w:t>
                  </w:r>
                </w:p>
              </w:tc>
              <w:tc>
                <w:tcPr>
                  <w:tcW w:w="1601" w:type="dxa"/>
                  <w:noWrap w:val="0"/>
                  <w:vAlign w:val="center"/>
                </w:tcPr>
                <w:p w14:paraId="42442E3B">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0.1556</w:t>
                  </w:r>
                </w:p>
              </w:tc>
            </w:tr>
            <w:tr w14:paraId="514A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420AD094">
                  <w:pPr>
                    <w:pStyle w:val="70"/>
                    <w:shd w:val="clear"/>
                    <w:spacing w:line="240" w:lineRule="auto"/>
                    <w:jc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颗粒物</w:t>
                  </w:r>
                </w:p>
              </w:tc>
              <w:tc>
                <w:tcPr>
                  <w:tcW w:w="1759" w:type="dxa"/>
                  <w:noWrap w:val="0"/>
                  <w:vAlign w:val="center"/>
                </w:tcPr>
                <w:p w14:paraId="6829446D">
                  <w:pPr>
                    <w:shd w:val="clear"/>
                    <w:adjustRightInd w:val="0"/>
                    <w:snapToGrid w:val="0"/>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0.019</w:t>
                  </w:r>
                </w:p>
              </w:tc>
              <w:tc>
                <w:tcPr>
                  <w:tcW w:w="1808" w:type="dxa"/>
                  <w:noWrap w:val="0"/>
                  <w:vAlign w:val="center"/>
                </w:tcPr>
                <w:p w14:paraId="089DD95D">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0.6718</w:t>
                  </w:r>
                </w:p>
              </w:tc>
              <w:tc>
                <w:tcPr>
                  <w:tcW w:w="1601" w:type="dxa"/>
                  <w:noWrap w:val="0"/>
                  <w:vAlign w:val="center"/>
                </w:tcPr>
                <w:p w14:paraId="72CDE9A3">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0.6908</w:t>
                  </w:r>
                </w:p>
              </w:tc>
            </w:tr>
            <w:tr w14:paraId="3F55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5373EAD5">
                  <w:pPr>
                    <w:pStyle w:val="70"/>
                    <w:shd w:val="clear"/>
                    <w:spacing w:line="240" w:lineRule="auto"/>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二氧化硫</w:t>
                  </w:r>
                </w:p>
              </w:tc>
              <w:tc>
                <w:tcPr>
                  <w:tcW w:w="1759" w:type="dxa"/>
                  <w:noWrap w:val="0"/>
                  <w:vAlign w:val="center"/>
                </w:tcPr>
                <w:p w14:paraId="29A753CD">
                  <w:pPr>
                    <w:shd w:val="clear"/>
                    <w:adjustRightInd w:val="0"/>
                    <w:snapToGrid w:val="0"/>
                    <w:spacing w:line="240" w:lineRule="auto"/>
                    <w:jc w:val="center"/>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1808" w:type="dxa"/>
                  <w:noWrap w:val="0"/>
                  <w:vAlign w:val="center"/>
                </w:tcPr>
                <w:p w14:paraId="70FB531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4</w:t>
                  </w:r>
                </w:p>
              </w:tc>
              <w:tc>
                <w:tcPr>
                  <w:tcW w:w="1601" w:type="dxa"/>
                  <w:noWrap w:val="0"/>
                  <w:vAlign w:val="center"/>
                </w:tcPr>
                <w:p w14:paraId="3439FB6C">
                  <w:pPr>
                    <w:shd w:val="clea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8.3</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r>
            <w:tr w14:paraId="788D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74B1C653">
                  <w:pPr>
                    <w:pStyle w:val="70"/>
                    <w:shd w:val="clear"/>
                    <w:spacing w:line="240" w:lineRule="auto"/>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氮氧化物</w:t>
                  </w:r>
                </w:p>
              </w:tc>
              <w:tc>
                <w:tcPr>
                  <w:tcW w:w="1759" w:type="dxa"/>
                  <w:noWrap w:val="0"/>
                  <w:vAlign w:val="center"/>
                </w:tcPr>
                <w:p w14:paraId="2178C1E6">
                  <w:pPr>
                    <w:shd w:val="clear"/>
                    <w:adjustRightInd w:val="0"/>
                    <w:snapToGrid w:val="0"/>
                    <w:spacing w:line="240" w:lineRule="auto"/>
                    <w:jc w:val="cente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0.0648</w:t>
                  </w:r>
                </w:p>
              </w:tc>
              <w:tc>
                <w:tcPr>
                  <w:tcW w:w="1808" w:type="dxa"/>
                  <w:noWrap w:val="0"/>
                  <w:vAlign w:val="center"/>
                </w:tcPr>
                <w:p w14:paraId="36FE00E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0.0072</w:t>
                  </w:r>
                </w:p>
              </w:tc>
              <w:tc>
                <w:tcPr>
                  <w:tcW w:w="1601" w:type="dxa"/>
                  <w:noWrap w:val="0"/>
                  <w:vAlign w:val="center"/>
                </w:tcPr>
                <w:p w14:paraId="3EBB6F5B">
                  <w:pPr>
                    <w:shd w:val="clea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0.072</w:t>
                  </w:r>
                </w:p>
              </w:tc>
            </w:tr>
            <w:tr w14:paraId="4FC8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6B386179">
                  <w:pPr>
                    <w:pStyle w:val="70"/>
                    <w:shd w:val="clear"/>
                    <w:spacing w:line="240" w:lineRule="auto"/>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林格曼黑度</w:t>
                  </w:r>
                </w:p>
              </w:tc>
              <w:tc>
                <w:tcPr>
                  <w:tcW w:w="1759" w:type="dxa"/>
                  <w:noWrap w:val="0"/>
                  <w:vAlign w:val="center"/>
                </w:tcPr>
                <w:p w14:paraId="76E7B004">
                  <w:pPr>
                    <w:shd w:val="clear"/>
                    <w:adjustRightInd w:val="0"/>
                    <w:snapToGrid w:val="0"/>
                    <w:spacing w:line="240" w:lineRule="auto"/>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808" w:type="dxa"/>
                  <w:noWrap w:val="0"/>
                  <w:vAlign w:val="center"/>
                </w:tcPr>
                <w:p w14:paraId="2A3C491F">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601" w:type="dxa"/>
                  <w:noWrap w:val="0"/>
                  <w:vAlign w:val="center"/>
                </w:tcPr>
                <w:p w14:paraId="20BD7FB1">
                  <w:pPr>
                    <w:shd w:val="clear"/>
                    <w:adjustRightInd w:val="0"/>
                    <w:snapToGrid w:val="0"/>
                    <w:spacing w:line="240" w:lineRule="auto"/>
                    <w:jc w:val="center"/>
                    <w:rPr>
                      <w:rFonts w:hint="default"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p>
              </w:tc>
            </w:tr>
            <w:tr w14:paraId="43F7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83" w:type="dxa"/>
                  <w:noWrap w:val="0"/>
                  <w:vAlign w:val="center"/>
                </w:tcPr>
                <w:p w14:paraId="567DC37B">
                  <w:pPr>
                    <w:pStyle w:val="70"/>
                    <w:shd w:val="clear"/>
                    <w:spacing w:line="240" w:lineRule="auto"/>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臭气浓度</w:t>
                  </w:r>
                </w:p>
              </w:tc>
              <w:tc>
                <w:tcPr>
                  <w:tcW w:w="1759" w:type="dxa"/>
                  <w:noWrap w:val="0"/>
                  <w:vAlign w:val="center"/>
                </w:tcPr>
                <w:p w14:paraId="30EA9985">
                  <w:pPr>
                    <w:shd w:val="clear"/>
                    <w:adjustRightInd w:val="0"/>
                    <w:snapToGrid w:val="0"/>
                    <w:spacing w:line="240" w:lineRule="auto"/>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808" w:type="dxa"/>
                  <w:noWrap w:val="0"/>
                  <w:vAlign w:val="center"/>
                </w:tcPr>
                <w:p w14:paraId="4AB2E9C5">
                  <w:pPr>
                    <w:pStyle w:val="19"/>
                    <w:keepNext w:val="0"/>
                    <w:keepLines w:val="0"/>
                    <w:pageBreakBefore w:val="0"/>
                    <w:widowControl w:val="0"/>
                    <w:shd w:val="clear"/>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601" w:type="dxa"/>
                  <w:noWrap w:val="0"/>
                  <w:vAlign w:val="center"/>
                </w:tcPr>
                <w:p w14:paraId="041311C1">
                  <w:pPr>
                    <w:shd w:val="clear"/>
                    <w:adjustRightInd w:val="0"/>
                    <w:snapToGrid w:val="0"/>
                    <w:spacing w:line="240" w:lineRule="auto"/>
                    <w:jc w:val="center"/>
                    <w:rPr>
                      <w:rFonts w:hint="default"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r>
          </w:tbl>
          <w:p w14:paraId="0F2745BD">
            <w:pPr>
              <w:shd w:val="clear"/>
              <w:adjustRightInd w:val="0"/>
              <w:snapToGrid w:val="0"/>
              <w:spacing w:line="240" w:lineRule="auto"/>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p>
          <w:p w14:paraId="2CFD6A58">
            <w:pPr>
              <w:shd w:val="clear"/>
              <w:adjustRightInd w:val="0"/>
              <w:snapToGrid w:val="0"/>
              <w:spacing w:line="360" w:lineRule="auto"/>
              <w:ind w:firstLine="482" w:firstLineChars="200"/>
              <w:jc w:val="cente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表2</w:t>
            </w:r>
            <w:r>
              <w:rPr>
                <w:rFonts w:hint="eastAsia" w:cs="Times New Roman"/>
                <w:b/>
                <w:bCs/>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非正常排放参数表</w:t>
            </w:r>
          </w:p>
          <w:tbl>
            <w:tblPr>
              <w:tblStyle w:val="34"/>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1041"/>
              <w:gridCol w:w="1059"/>
              <w:gridCol w:w="1219"/>
              <w:gridCol w:w="1292"/>
              <w:gridCol w:w="893"/>
              <w:gridCol w:w="905"/>
              <w:gridCol w:w="1065"/>
            </w:tblGrid>
            <w:tr w14:paraId="0BAC1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noWrap w:val="0"/>
                  <w:vAlign w:val="center"/>
                </w:tcPr>
                <w:p w14:paraId="168C7FC0">
                  <w:pPr>
                    <w:shd w:val="clear"/>
                    <w:spacing w:line="240" w:lineRule="auto"/>
                    <w:jc w:val="center"/>
                    <w:textAlignment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污染源</w:t>
                  </w:r>
                </w:p>
              </w:tc>
              <w:tc>
                <w:tcPr>
                  <w:tcW w:w="1050" w:type="dxa"/>
                  <w:noWrap w:val="0"/>
                  <w:vAlign w:val="center"/>
                </w:tcPr>
                <w:p w14:paraId="6863FA2D">
                  <w:pPr>
                    <w:shd w:val="clear"/>
                    <w:spacing w:line="240" w:lineRule="auto"/>
                    <w:jc w:val="center"/>
                    <w:textAlignment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非正常排放原因</w:t>
                  </w:r>
                </w:p>
              </w:tc>
              <w:tc>
                <w:tcPr>
                  <w:tcW w:w="1064" w:type="dxa"/>
                  <w:noWrap w:val="0"/>
                  <w:vAlign w:val="center"/>
                </w:tcPr>
                <w:p w14:paraId="04F0D9F6">
                  <w:pPr>
                    <w:shd w:val="clear"/>
                    <w:spacing w:line="240" w:lineRule="auto"/>
                    <w:jc w:val="center"/>
                    <w:textAlignment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污染物</w:t>
                  </w:r>
                </w:p>
              </w:tc>
              <w:tc>
                <w:tcPr>
                  <w:tcW w:w="1166" w:type="dxa"/>
                  <w:noWrap w:val="0"/>
                  <w:vAlign w:val="center"/>
                </w:tcPr>
                <w:p w14:paraId="6D226F6B">
                  <w:pPr>
                    <w:shd w:val="clear"/>
                    <w:spacing w:line="240" w:lineRule="auto"/>
                    <w:jc w:val="center"/>
                    <w:textAlignment w:val="center"/>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非正常</w:t>
                  </w: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排放浓度</w:t>
                  </w: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w:t>
                  </w:r>
                  <w:r>
                    <w:rPr>
                      <w:rFonts w:hint="default" w:ascii="Times New Roman" w:hAnsi="Times New Roman" w:eastAsia="宋体" w:cs="Times New Roman"/>
                      <w:b/>
                      <w:color w:val="000000" w:themeColor="text1"/>
                      <w:sz w:val="21"/>
                      <w:szCs w:val="21"/>
                      <w:highlight w:val="none"/>
                      <w:lang w:bidi="ar"/>
                      <w14:textFill>
                        <w14:solidFill>
                          <w14:schemeClr w14:val="tx1"/>
                        </w14:solidFill>
                      </w14:textFill>
                    </w:rPr>
                    <w:t>m</w:t>
                  </w: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g/m</w:t>
                  </w:r>
                  <w:r>
                    <w:rPr>
                      <w:rFonts w:hint="default" w:ascii="Times New Roman" w:hAnsi="Times New Roman" w:eastAsia="宋体" w:cs="Times New Roman"/>
                      <w:b/>
                      <w:color w:val="000000" w:themeColor="text1"/>
                      <w:sz w:val="21"/>
                      <w:szCs w:val="21"/>
                      <w:highlight w:val="none"/>
                      <w:vertAlign w:val="superscript"/>
                      <w:lang w:val="zh-CN" w:bidi="ar"/>
                      <w14:textFill>
                        <w14:solidFill>
                          <w14:schemeClr w14:val="tx1"/>
                        </w14:solidFill>
                      </w14:textFill>
                    </w:rPr>
                    <w:t>3</w:t>
                  </w:r>
                  <w:r>
                    <w:rPr>
                      <w:rFonts w:hint="default" w:ascii="Times New Roman" w:hAnsi="Times New Roman" w:eastAsia="宋体" w:cs="Times New Roman"/>
                      <w:b/>
                      <w:color w:val="000000" w:themeColor="text1"/>
                      <w:sz w:val="21"/>
                      <w:szCs w:val="21"/>
                      <w:highlight w:val="none"/>
                      <w:lang w:val="zh-CN" w:bidi="ar"/>
                      <w14:textFill>
                        <w14:solidFill>
                          <w14:schemeClr w14:val="tx1"/>
                        </w14:solidFill>
                      </w14:textFill>
                    </w:rPr>
                    <w:t>）</w:t>
                  </w:r>
                </w:p>
              </w:tc>
              <w:tc>
                <w:tcPr>
                  <w:tcW w:w="1295" w:type="dxa"/>
                  <w:noWrap w:val="0"/>
                  <w:vAlign w:val="center"/>
                </w:tcPr>
                <w:p w14:paraId="5CDBC13E">
                  <w:pPr>
                    <w:shd w:val="clear"/>
                    <w:spacing w:line="240" w:lineRule="auto"/>
                    <w:jc w:val="center"/>
                    <w:textAlignment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非正常排放速率(kg/h)</w:t>
                  </w:r>
                </w:p>
              </w:tc>
              <w:tc>
                <w:tcPr>
                  <w:tcW w:w="902" w:type="dxa"/>
                  <w:noWrap w:val="0"/>
                  <w:vAlign w:val="center"/>
                </w:tcPr>
                <w:p w14:paraId="0ACCA933">
                  <w:pPr>
                    <w:shd w:val="clear"/>
                    <w:spacing w:line="240" w:lineRule="auto"/>
                    <w:jc w:val="center"/>
                    <w:textAlignment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单次持续时间/h</w:t>
                  </w:r>
                </w:p>
              </w:tc>
              <w:tc>
                <w:tcPr>
                  <w:tcW w:w="914" w:type="dxa"/>
                  <w:noWrap w:val="0"/>
                  <w:vAlign w:val="center"/>
                </w:tcPr>
                <w:p w14:paraId="0A39C115">
                  <w:pPr>
                    <w:shd w:val="clear"/>
                    <w:spacing w:line="240" w:lineRule="auto"/>
                    <w:jc w:val="center"/>
                    <w:textAlignment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年发生频次/次</w:t>
                  </w:r>
                </w:p>
              </w:tc>
              <w:tc>
                <w:tcPr>
                  <w:tcW w:w="1077" w:type="dxa"/>
                  <w:noWrap w:val="0"/>
                  <w:vAlign w:val="center"/>
                </w:tcPr>
                <w:p w14:paraId="4C475445">
                  <w:pPr>
                    <w:shd w:val="clear"/>
                    <w:spacing w:line="240" w:lineRule="auto"/>
                    <w:jc w:val="center"/>
                    <w:textAlignment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应对措施</w:t>
                  </w:r>
                </w:p>
              </w:tc>
            </w:tr>
            <w:tr w14:paraId="7C6C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0" w:type="dxa"/>
                  <w:vMerge w:val="restart"/>
                  <w:noWrap w:val="0"/>
                  <w:vAlign w:val="center"/>
                </w:tcPr>
                <w:p w14:paraId="00C3DB7D">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G1</w:t>
                  </w:r>
                </w:p>
              </w:tc>
              <w:tc>
                <w:tcPr>
                  <w:tcW w:w="1050" w:type="dxa"/>
                  <w:vMerge w:val="restart"/>
                  <w:noWrap w:val="0"/>
                  <w:vAlign w:val="center"/>
                </w:tcPr>
                <w:p w14:paraId="39E5820C">
                  <w:pPr>
                    <w:shd w:val="clear"/>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废气收集措施故障，废气治理的效率降至0</w:t>
                  </w:r>
                </w:p>
              </w:tc>
              <w:tc>
                <w:tcPr>
                  <w:tcW w:w="1064" w:type="dxa"/>
                  <w:noWrap w:val="0"/>
                  <w:vAlign w:val="center"/>
                </w:tcPr>
                <w:p w14:paraId="55738F8D">
                  <w:pPr>
                    <w:shd w:val="clear"/>
                    <w:spacing w:line="240" w:lineRule="auto"/>
                    <w:jc w:val="center"/>
                    <w:rPr>
                      <w:rFonts w:hint="default" w:ascii="Times New Roman" w:hAnsi="Times New Roman" w:eastAsia="宋体" w:cs="Times New Roman"/>
                      <w:b/>
                      <w:bCs w:val="0"/>
                      <w:color w:val="000000" w:themeColor="text1"/>
                      <w:spacing w:val="-10"/>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TVOC</w:t>
                  </w:r>
                </w:p>
              </w:tc>
              <w:tc>
                <w:tcPr>
                  <w:tcW w:w="1166" w:type="dxa"/>
                  <w:noWrap w:val="0"/>
                  <w:vAlign w:val="center"/>
                </w:tcPr>
                <w:p w14:paraId="4E42BCB7">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1.253</w:t>
                  </w:r>
                </w:p>
              </w:tc>
              <w:tc>
                <w:tcPr>
                  <w:tcW w:w="1295" w:type="dxa"/>
                  <w:noWrap w:val="0"/>
                  <w:vAlign w:val="center"/>
                </w:tcPr>
                <w:p w14:paraId="1B071F8B">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0.0188</w:t>
                  </w:r>
                </w:p>
              </w:tc>
              <w:tc>
                <w:tcPr>
                  <w:tcW w:w="902" w:type="dxa"/>
                  <w:noWrap w:val="0"/>
                  <w:vAlign w:val="center"/>
                </w:tcPr>
                <w:p w14:paraId="537F960B">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w:t>
                  </w:r>
                </w:p>
              </w:tc>
              <w:tc>
                <w:tcPr>
                  <w:tcW w:w="914" w:type="dxa"/>
                  <w:noWrap w:val="0"/>
                  <w:vAlign w:val="center"/>
                </w:tcPr>
                <w:p w14:paraId="4C4791C6">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w:t>
                  </w:r>
                </w:p>
              </w:tc>
              <w:tc>
                <w:tcPr>
                  <w:tcW w:w="1077" w:type="dxa"/>
                  <w:vMerge w:val="restart"/>
                  <w:noWrap w:val="0"/>
                  <w:vAlign w:val="center"/>
                </w:tcPr>
                <w:p w14:paraId="62ED81A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立即关停产污设备并及时维修</w:t>
                  </w:r>
                </w:p>
              </w:tc>
            </w:tr>
            <w:tr w14:paraId="0A31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0" w:type="dxa"/>
                  <w:vMerge w:val="continue"/>
                  <w:noWrap w:val="0"/>
                  <w:vAlign w:val="center"/>
                </w:tcPr>
                <w:p w14:paraId="44DDFA41">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color w:val="000000" w:themeColor="text1"/>
                      <w:sz w:val="21"/>
                      <w:szCs w:val="21"/>
                      <w14:textFill>
                        <w14:solidFill>
                          <w14:schemeClr w14:val="tx1"/>
                        </w14:solidFill>
                      </w14:textFill>
                    </w:rPr>
                  </w:pPr>
                </w:p>
              </w:tc>
              <w:tc>
                <w:tcPr>
                  <w:tcW w:w="1050" w:type="dxa"/>
                  <w:vMerge w:val="continue"/>
                  <w:noWrap w:val="0"/>
                  <w:vAlign w:val="center"/>
                </w:tcPr>
                <w:p w14:paraId="44F79149">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color w:val="000000" w:themeColor="text1"/>
                      <w:sz w:val="21"/>
                      <w:szCs w:val="21"/>
                      <w14:textFill>
                        <w14:solidFill>
                          <w14:schemeClr w14:val="tx1"/>
                        </w14:solidFill>
                      </w14:textFill>
                    </w:rPr>
                  </w:pPr>
                </w:p>
              </w:tc>
              <w:tc>
                <w:tcPr>
                  <w:tcW w:w="1064" w:type="dxa"/>
                  <w:noWrap w:val="0"/>
                  <w:vAlign w:val="center"/>
                </w:tcPr>
                <w:p w14:paraId="540456F6">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颗粒物</w:t>
                  </w:r>
                </w:p>
              </w:tc>
              <w:tc>
                <w:tcPr>
                  <w:tcW w:w="1166" w:type="dxa"/>
                  <w:noWrap w:val="0"/>
                  <w:vAlign w:val="center"/>
                </w:tcPr>
                <w:p w14:paraId="1BC24FD8">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2.626</w:t>
                  </w:r>
                </w:p>
              </w:tc>
              <w:tc>
                <w:tcPr>
                  <w:tcW w:w="1295" w:type="dxa"/>
                  <w:noWrap w:val="0"/>
                  <w:vAlign w:val="center"/>
                </w:tcPr>
                <w:p w14:paraId="36CCA14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0.0394</w:t>
                  </w:r>
                </w:p>
              </w:tc>
              <w:tc>
                <w:tcPr>
                  <w:tcW w:w="902" w:type="dxa"/>
                  <w:noWrap w:val="0"/>
                  <w:vAlign w:val="center"/>
                </w:tcPr>
                <w:p w14:paraId="271DC9C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914" w:type="dxa"/>
                  <w:noWrap w:val="0"/>
                  <w:vAlign w:val="center"/>
                </w:tcPr>
                <w:p w14:paraId="40CBBFD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077" w:type="dxa"/>
                  <w:vMerge w:val="continue"/>
                  <w:noWrap w:val="0"/>
                  <w:vAlign w:val="center"/>
                </w:tcPr>
                <w:p w14:paraId="5B28360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4FF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0" w:type="dxa"/>
                  <w:vMerge w:val="continue"/>
                  <w:noWrap w:val="0"/>
                  <w:vAlign w:val="center"/>
                </w:tcPr>
                <w:p w14:paraId="2F16BEE4">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50" w:type="dxa"/>
                  <w:vMerge w:val="continue"/>
                  <w:noWrap w:val="0"/>
                  <w:vAlign w:val="center"/>
                </w:tcPr>
                <w:p w14:paraId="7EFD7F0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64" w:type="dxa"/>
                  <w:noWrap w:val="0"/>
                  <w:vAlign w:val="center"/>
                </w:tcPr>
                <w:p w14:paraId="14D626ED">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二氧化硫</w:t>
                  </w:r>
                </w:p>
              </w:tc>
              <w:tc>
                <w:tcPr>
                  <w:tcW w:w="1166" w:type="dxa"/>
                  <w:noWrap w:val="0"/>
                  <w:vAlign w:val="center"/>
                </w:tcPr>
                <w:p w14:paraId="20E7E76C">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0.209</w:t>
                  </w:r>
                </w:p>
              </w:tc>
              <w:tc>
                <w:tcPr>
                  <w:tcW w:w="1295" w:type="dxa"/>
                  <w:noWrap w:val="0"/>
                  <w:vAlign w:val="center"/>
                </w:tcPr>
                <w:p w14:paraId="2E117B00">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902" w:type="dxa"/>
                  <w:noWrap w:val="0"/>
                  <w:vAlign w:val="center"/>
                </w:tcPr>
                <w:p w14:paraId="5D66F0C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914" w:type="dxa"/>
                  <w:noWrap w:val="0"/>
                  <w:vAlign w:val="center"/>
                </w:tcPr>
                <w:p w14:paraId="51C7BA1E">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077" w:type="dxa"/>
                  <w:vMerge w:val="continue"/>
                  <w:noWrap w:val="0"/>
                  <w:vAlign w:val="center"/>
                </w:tcPr>
                <w:p w14:paraId="1DE36C2C">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C1A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0" w:type="dxa"/>
                  <w:vMerge w:val="continue"/>
                  <w:noWrap w:val="0"/>
                  <w:vAlign w:val="center"/>
                </w:tcPr>
                <w:p w14:paraId="377CDCB8">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50" w:type="dxa"/>
                  <w:vMerge w:val="continue"/>
                  <w:noWrap w:val="0"/>
                  <w:vAlign w:val="center"/>
                </w:tcPr>
                <w:p w14:paraId="7062832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64" w:type="dxa"/>
                  <w:noWrap w:val="0"/>
                  <w:vAlign w:val="center"/>
                </w:tcPr>
                <w:p w14:paraId="24817607">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氮氧化物</w:t>
                  </w:r>
                </w:p>
              </w:tc>
              <w:tc>
                <w:tcPr>
                  <w:tcW w:w="1166" w:type="dxa"/>
                  <w:noWrap w:val="0"/>
                  <w:vAlign w:val="center"/>
                </w:tcPr>
                <w:p w14:paraId="18C72AD7">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1.8</w:t>
                  </w:r>
                </w:p>
              </w:tc>
              <w:tc>
                <w:tcPr>
                  <w:tcW w:w="1295" w:type="dxa"/>
                  <w:noWrap w:val="0"/>
                  <w:vAlign w:val="center"/>
                </w:tcPr>
                <w:p w14:paraId="40688B23">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0.027</w:t>
                  </w:r>
                </w:p>
              </w:tc>
              <w:tc>
                <w:tcPr>
                  <w:tcW w:w="902" w:type="dxa"/>
                  <w:noWrap w:val="0"/>
                  <w:vAlign w:val="center"/>
                </w:tcPr>
                <w:p w14:paraId="675F4A71">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914" w:type="dxa"/>
                  <w:noWrap w:val="0"/>
                  <w:vAlign w:val="center"/>
                </w:tcPr>
                <w:p w14:paraId="39AC0471">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077" w:type="dxa"/>
                  <w:vMerge w:val="continue"/>
                  <w:noWrap w:val="0"/>
                  <w:vAlign w:val="center"/>
                </w:tcPr>
                <w:p w14:paraId="29F1AFD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bl>
          <w:p w14:paraId="72FBE33B">
            <w:pPr>
              <w:shd w:val="clear"/>
              <w:adjustRightInd w:val="0"/>
              <w:snapToGrid w:val="0"/>
              <w:spacing w:line="240" w:lineRule="auto"/>
              <w:jc w:val="cente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p>
          <w:p w14:paraId="4A886271">
            <w:pPr>
              <w:shd w:val="clear"/>
              <w:adjustRightInd w:val="0"/>
              <w:snapToGrid w:val="0"/>
              <w:spacing w:line="360" w:lineRule="auto"/>
              <w:jc w:val="cente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表2</w:t>
            </w:r>
            <w:r>
              <w:rPr>
                <w:rFonts w:hint="eastAsia" w:cs="Times New Roman"/>
                <w:b/>
                <w:bCs/>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项目废气排放口一览表</w:t>
            </w:r>
          </w:p>
          <w:tbl>
            <w:tblPr>
              <w:tblStyle w:val="34"/>
              <w:tblW w:w="84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905"/>
              <w:gridCol w:w="1026"/>
              <w:gridCol w:w="1011"/>
              <w:gridCol w:w="924"/>
              <w:gridCol w:w="478"/>
              <w:gridCol w:w="504"/>
              <w:gridCol w:w="1136"/>
              <w:gridCol w:w="631"/>
              <w:gridCol w:w="706"/>
              <w:gridCol w:w="667"/>
            </w:tblGrid>
            <w:tr w14:paraId="0983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dxa"/>
                  <w:vMerge w:val="restart"/>
                  <w:noWrap w:val="0"/>
                  <w:vAlign w:val="center"/>
                </w:tcPr>
                <w:p w14:paraId="1E63D268">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排放口编号</w:t>
                  </w:r>
                </w:p>
              </w:tc>
              <w:tc>
                <w:tcPr>
                  <w:tcW w:w="905" w:type="dxa"/>
                  <w:vMerge w:val="restart"/>
                  <w:noWrap w:val="0"/>
                  <w:vAlign w:val="center"/>
                </w:tcPr>
                <w:p w14:paraId="605A60D8">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废气类型</w:t>
                  </w:r>
                </w:p>
              </w:tc>
              <w:tc>
                <w:tcPr>
                  <w:tcW w:w="1026" w:type="dxa"/>
                  <w:vMerge w:val="restart"/>
                  <w:noWrap w:val="0"/>
                  <w:vAlign w:val="center"/>
                </w:tcPr>
                <w:p w14:paraId="53241386">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污染物种类</w:t>
                  </w:r>
                </w:p>
              </w:tc>
              <w:tc>
                <w:tcPr>
                  <w:tcW w:w="1935" w:type="dxa"/>
                  <w:gridSpan w:val="2"/>
                  <w:noWrap w:val="0"/>
                  <w:vAlign w:val="top"/>
                </w:tcPr>
                <w:p w14:paraId="762A6EBD">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排放口地理坐标</w:t>
                  </w:r>
                </w:p>
              </w:tc>
              <w:tc>
                <w:tcPr>
                  <w:tcW w:w="478" w:type="dxa"/>
                  <w:vMerge w:val="restart"/>
                  <w:noWrap w:val="0"/>
                  <w:vAlign w:val="center"/>
                </w:tcPr>
                <w:p w14:paraId="079E8223">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治理措施</w:t>
                  </w:r>
                </w:p>
              </w:tc>
              <w:tc>
                <w:tcPr>
                  <w:tcW w:w="504" w:type="dxa"/>
                  <w:vMerge w:val="restart"/>
                  <w:noWrap w:val="0"/>
                  <w:vAlign w:val="center"/>
                </w:tcPr>
                <w:p w14:paraId="79B8BCDF">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是否为可行技术</w:t>
                  </w:r>
                </w:p>
              </w:tc>
              <w:tc>
                <w:tcPr>
                  <w:tcW w:w="1136" w:type="dxa"/>
                  <w:vMerge w:val="restart"/>
                  <w:noWrap w:val="0"/>
                  <w:vAlign w:val="center"/>
                </w:tcPr>
                <w:p w14:paraId="02410D2B">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排气量</w:t>
                  </w:r>
                </w:p>
              </w:tc>
              <w:tc>
                <w:tcPr>
                  <w:tcW w:w="631" w:type="dxa"/>
                  <w:vMerge w:val="restart"/>
                  <w:noWrap w:val="0"/>
                  <w:vAlign w:val="center"/>
                </w:tcPr>
                <w:p w14:paraId="492CADD5">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排气筒高度</w:t>
                  </w:r>
                </w:p>
              </w:tc>
              <w:tc>
                <w:tcPr>
                  <w:tcW w:w="706" w:type="dxa"/>
                  <w:vMerge w:val="restart"/>
                  <w:noWrap w:val="0"/>
                  <w:vAlign w:val="center"/>
                </w:tcPr>
                <w:p w14:paraId="2A18ECB1">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排气筒出口内径</w:t>
                  </w:r>
                </w:p>
              </w:tc>
              <w:tc>
                <w:tcPr>
                  <w:tcW w:w="667" w:type="dxa"/>
                  <w:vMerge w:val="restart"/>
                  <w:noWrap w:val="0"/>
                  <w:vAlign w:val="center"/>
                </w:tcPr>
                <w:p w14:paraId="78A551CA">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排气温度</w:t>
                  </w:r>
                </w:p>
              </w:tc>
            </w:tr>
            <w:tr w14:paraId="5AE7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dxa"/>
                  <w:vMerge w:val="continue"/>
                  <w:noWrap w:val="0"/>
                  <w:vAlign w:val="top"/>
                </w:tcPr>
                <w:p w14:paraId="397EE13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905" w:type="dxa"/>
                  <w:vMerge w:val="continue"/>
                  <w:noWrap w:val="0"/>
                  <w:vAlign w:val="top"/>
                </w:tcPr>
                <w:p w14:paraId="3AD4E595">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p>
              </w:tc>
              <w:tc>
                <w:tcPr>
                  <w:tcW w:w="1026" w:type="dxa"/>
                  <w:vMerge w:val="continue"/>
                  <w:noWrap w:val="0"/>
                  <w:vAlign w:val="top"/>
                </w:tcPr>
                <w:p w14:paraId="19A8E592">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011" w:type="dxa"/>
                  <w:noWrap w:val="0"/>
                  <w:vAlign w:val="center"/>
                </w:tcPr>
                <w:p w14:paraId="6F774656">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经度</w:t>
                  </w:r>
                </w:p>
              </w:tc>
              <w:tc>
                <w:tcPr>
                  <w:tcW w:w="924" w:type="dxa"/>
                  <w:noWrap w:val="0"/>
                  <w:vAlign w:val="center"/>
                </w:tcPr>
                <w:p w14:paraId="6A66734F">
                  <w:pPr>
                    <w:keepNext w:val="0"/>
                    <w:keepLines w:val="0"/>
                    <w:pageBreakBefore w:val="0"/>
                    <w:widowControl w:val="0"/>
                    <w:shd w:val="clear"/>
                    <w:kinsoku/>
                    <w:wordWrap/>
                    <w:overflowPunct/>
                    <w:topLinePunct w:val="0"/>
                    <w:autoSpaceDE/>
                    <w:autoSpaceDN/>
                    <w:bidi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纬度</w:t>
                  </w:r>
                </w:p>
              </w:tc>
              <w:tc>
                <w:tcPr>
                  <w:tcW w:w="478" w:type="dxa"/>
                  <w:vMerge w:val="continue"/>
                  <w:noWrap w:val="0"/>
                  <w:vAlign w:val="top"/>
                </w:tcPr>
                <w:p w14:paraId="2BE684B6">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504" w:type="dxa"/>
                  <w:vMerge w:val="continue"/>
                  <w:noWrap w:val="0"/>
                  <w:vAlign w:val="top"/>
                </w:tcPr>
                <w:p w14:paraId="796BD938">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136" w:type="dxa"/>
                  <w:vMerge w:val="continue"/>
                  <w:noWrap w:val="0"/>
                  <w:vAlign w:val="top"/>
                </w:tcPr>
                <w:p w14:paraId="138B7801">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631" w:type="dxa"/>
                  <w:vMerge w:val="continue"/>
                  <w:noWrap w:val="0"/>
                  <w:vAlign w:val="top"/>
                </w:tcPr>
                <w:p w14:paraId="004C5CAC">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706" w:type="dxa"/>
                  <w:vMerge w:val="continue"/>
                  <w:noWrap w:val="0"/>
                  <w:vAlign w:val="top"/>
                </w:tcPr>
                <w:p w14:paraId="0777DC55">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667" w:type="dxa"/>
                  <w:vMerge w:val="continue"/>
                  <w:noWrap w:val="0"/>
                  <w:vAlign w:val="top"/>
                </w:tcPr>
                <w:p w14:paraId="5B8C5CB5">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r>
            <w:tr w14:paraId="24D8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501" w:type="dxa"/>
                  <w:noWrap w:val="0"/>
                  <w:vAlign w:val="center"/>
                </w:tcPr>
                <w:p w14:paraId="28D23674">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G1</w:t>
                  </w:r>
                </w:p>
              </w:tc>
              <w:tc>
                <w:tcPr>
                  <w:tcW w:w="905" w:type="dxa"/>
                  <w:noWrap w:val="0"/>
                  <w:vAlign w:val="center"/>
                </w:tcPr>
                <w:p w14:paraId="70070210">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熔融、压铸、脱模、液化石油气燃烧</w:t>
                  </w: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废气</w:t>
                  </w:r>
                </w:p>
              </w:tc>
              <w:tc>
                <w:tcPr>
                  <w:tcW w:w="1026" w:type="dxa"/>
                  <w:noWrap w:val="0"/>
                  <w:vAlign w:val="center"/>
                </w:tcPr>
                <w:p w14:paraId="13282E84">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TVOC</w:t>
                  </w:r>
                  <w:r>
                    <w:rPr>
                      <w:rFonts w:hint="eastAsia" w:cs="Times New Roman"/>
                      <w:color w:val="000000" w:themeColor="text1"/>
                      <w:sz w:val="21"/>
                      <w:szCs w:val="21"/>
                      <w:highlight w:val="none"/>
                      <w:lang w:val="en-US" w:eastAsia="zh-CN"/>
                      <w14:textFill>
                        <w14:solidFill>
                          <w14:schemeClr w14:val="tx1"/>
                        </w14:solidFill>
                      </w14:textFill>
                    </w:rPr>
                    <w:t>、颗粒物、林格曼黑度、二氧化硫、氮氧化物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及臭气浓度</w:t>
                  </w:r>
                </w:p>
              </w:tc>
              <w:tc>
                <w:tcPr>
                  <w:tcW w:w="1011" w:type="dxa"/>
                  <w:noWrap w:val="0"/>
                  <w:vAlign w:val="center"/>
                </w:tcPr>
                <w:p w14:paraId="121D6E6A">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113.49260</w:t>
                  </w:r>
                </w:p>
              </w:tc>
              <w:tc>
                <w:tcPr>
                  <w:tcW w:w="924" w:type="dxa"/>
                  <w:noWrap w:val="0"/>
                  <w:vAlign w:val="center"/>
                </w:tcPr>
                <w:p w14:paraId="64D1EDB7">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22.51911</w:t>
                  </w:r>
                </w:p>
              </w:tc>
              <w:tc>
                <w:tcPr>
                  <w:tcW w:w="478" w:type="dxa"/>
                  <w:noWrap w:val="0"/>
                  <w:vAlign w:val="center"/>
                </w:tcPr>
                <w:p w14:paraId="7D40F2E4">
                  <w:pPr>
                    <w:pStyle w:val="83"/>
                    <w:numPr>
                      <w:ilvl w:val="0"/>
                      <w:numId w:val="0"/>
                    </w:numPr>
                    <w:shd w:val="clear"/>
                    <w:spacing w:line="240" w:lineRule="auto"/>
                    <w:ind w:left="0" w:leftChars="0" w:firstLine="0" w:firstLineChars="0"/>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color w:val="000000" w:themeColor="text1"/>
                      <w:sz w:val="21"/>
                      <w:szCs w:val="21"/>
                      <w:highlight w:val="none"/>
                      <w:lang w:val="en-US" w:eastAsia="zh-CN"/>
                      <w14:textFill>
                        <w14:solidFill>
                          <w14:schemeClr w14:val="tx1"/>
                        </w14:solidFill>
                      </w14:textFill>
                    </w:rPr>
                    <w:t>水喷淋</w:t>
                  </w:r>
                </w:p>
              </w:tc>
              <w:tc>
                <w:tcPr>
                  <w:tcW w:w="504" w:type="dxa"/>
                  <w:noWrap w:val="0"/>
                  <w:vAlign w:val="center"/>
                </w:tcPr>
                <w:p w14:paraId="22AFFF60">
                  <w:pPr>
                    <w:shd w:val="clear"/>
                    <w:spacing w:line="240" w:lineRule="auto"/>
                    <w:jc w:val="center"/>
                    <w:rPr>
                      <w:rFonts w:hint="eastAsia"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否</w:t>
                  </w:r>
                </w:p>
              </w:tc>
              <w:tc>
                <w:tcPr>
                  <w:tcW w:w="1136" w:type="dxa"/>
                  <w:noWrap w:val="0"/>
                  <w:vAlign w:val="center"/>
                </w:tcPr>
                <w:p w14:paraId="12D62849">
                  <w:pPr>
                    <w:pStyle w:val="83"/>
                    <w:keepNext w:val="0"/>
                    <w:keepLines w:val="0"/>
                    <w:pageBreakBefore w:val="0"/>
                    <w:widowControl w:val="0"/>
                    <w:numPr>
                      <w:ilvl w:val="0"/>
                      <w:numId w:val="0"/>
                    </w:numPr>
                    <w:shd w:val="clear"/>
                    <w:kinsoku/>
                    <w:wordWrap/>
                    <w:overflowPunct/>
                    <w:topLinePunct/>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b w:val="0"/>
                      <w:color w:val="000000" w:themeColor="text1"/>
                      <w:sz w:val="21"/>
                      <w:szCs w:val="21"/>
                      <w:highlight w:val="none"/>
                      <w:lang w:val="en-US" w:eastAsia="zh-CN"/>
                      <w14:textFill>
                        <w14:solidFill>
                          <w14:schemeClr w14:val="tx1"/>
                        </w14:solidFill>
                      </w14:textFill>
                    </w:rPr>
                    <w:t>000m</w:t>
                  </w:r>
                  <w:r>
                    <w:rPr>
                      <w:rFonts w:hint="default" w:ascii="Times New Roman" w:hAnsi="Times New Roman" w:eastAsia="宋体" w:cs="Times New Roman"/>
                      <w:b w:val="0"/>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color w:val="000000" w:themeColor="text1"/>
                      <w:sz w:val="21"/>
                      <w:szCs w:val="21"/>
                      <w:highlight w:val="none"/>
                      <w:vertAlign w:val="baseline"/>
                      <w:lang w:val="en-US" w:eastAsia="zh-CN"/>
                      <w14:textFill>
                        <w14:solidFill>
                          <w14:schemeClr w14:val="tx1"/>
                        </w14:solidFill>
                      </w14:textFill>
                    </w:rPr>
                    <w:t>/h</w:t>
                  </w:r>
                </w:p>
              </w:tc>
              <w:tc>
                <w:tcPr>
                  <w:tcW w:w="631" w:type="dxa"/>
                  <w:noWrap w:val="0"/>
                  <w:vAlign w:val="center"/>
                </w:tcPr>
                <w:p w14:paraId="73BB4739">
                  <w:pPr>
                    <w:pStyle w:val="83"/>
                    <w:numPr>
                      <w:ilvl w:val="0"/>
                      <w:numId w:val="0"/>
                    </w:numPr>
                    <w:shd w:val="clear"/>
                    <w:spacing w:line="240" w:lineRule="auto"/>
                    <w:ind w:left="0" w:leftChars="0" w:firstLine="0" w:firstLineChars="0"/>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m</w:t>
                  </w:r>
                </w:p>
              </w:tc>
              <w:tc>
                <w:tcPr>
                  <w:tcW w:w="706" w:type="dxa"/>
                  <w:noWrap w:val="0"/>
                  <w:vAlign w:val="center"/>
                </w:tcPr>
                <w:p w14:paraId="1A440F99">
                  <w:pPr>
                    <w:pStyle w:val="83"/>
                    <w:numPr>
                      <w:ilvl w:val="0"/>
                      <w:numId w:val="0"/>
                    </w:numPr>
                    <w:shd w:val="clear"/>
                    <w:spacing w:line="240" w:lineRule="auto"/>
                    <w:ind w:left="0" w:leftChars="0" w:firstLine="0" w:firstLineChars="0"/>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0.</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m</w:t>
                  </w:r>
                </w:p>
              </w:tc>
              <w:tc>
                <w:tcPr>
                  <w:tcW w:w="667" w:type="dxa"/>
                  <w:noWrap w:val="0"/>
                  <w:vAlign w:val="center"/>
                </w:tcPr>
                <w:p w14:paraId="7D9285EE">
                  <w:pPr>
                    <w:pStyle w:val="83"/>
                    <w:numPr>
                      <w:ilvl w:val="0"/>
                      <w:numId w:val="0"/>
                    </w:numPr>
                    <w:shd w:val="clear"/>
                    <w:spacing w:line="240" w:lineRule="auto"/>
                    <w:ind w:left="0" w:leftChars="0" w:firstLine="0" w:firstLineChars="0"/>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0℃</w:t>
                  </w:r>
                </w:p>
              </w:tc>
            </w:tr>
          </w:tbl>
          <w:p w14:paraId="1D94B1A6">
            <w:pPr>
              <w:numPr>
                <w:ilvl w:val="0"/>
                <w:numId w:val="0"/>
              </w:numPr>
              <w:shd w:val="clear"/>
              <w:adjustRightInd w:val="0"/>
              <w:snapToGrid w:val="0"/>
              <w:spacing w:line="360" w:lineRule="auto"/>
              <w:ind w:firstLine="442" w:firstLineChars="200"/>
              <w:jc w:val="both"/>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废气治理可行性分析</w:t>
            </w:r>
          </w:p>
          <w:p w14:paraId="21596FA8">
            <w:pPr>
              <w:keepNext w:val="0"/>
              <w:keepLines w:val="0"/>
              <w:pageBreakBefore w:val="0"/>
              <w:widowControl w:val="0"/>
              <w:suppressLineNumbers w:val="0"/>
              <w:shd w:val="clear"/>
              <w:tabs>
                <w:tab w:val="left" w:pos="960"/>
              </w:tabs>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参照《排污许可证申请与核发技术规范 金属铸造工业》（HJ1115-2020）表A.1废气防治可行技术参考表，熔融、压铸废气（颗粒物）经水喷淋处理为不可行技术。</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由于熔融、压铸</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废气、</w:t>
            </w: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液化石油气</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燃烧废气</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温度较高，采用水喷淋除尘可以冷却净化排放气体</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，处理后</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于熔融、压铸</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、脱模有机废气及</w:t>
            </w: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液化石油气</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燃烧</w:t>
            </w:r>
            <w:r>
              <w:rPr>
                <w:rFonts w:hint="default" w:ascii="Times New Roman" w:hAnsi="Times New Roman" w:cs="Times New Roman"/>
                <w:color w:val="000000" w:themeColor="text1"/>
                <w:spacing w:val="0"/>
                <w:sz w:val="21"/>
                <w:szCs w:val="21"/>
                <w:highlight w:val="none"/>
                <w:lang w:val="en-US" w:eastAsia="zh-CN"/>
                <w14:textFill>
                  <w14:solidFill>
                    <w14:schemeClr w14:val="tx1"/>
                  </w14:solidFill>
                </w14:textFill>
              </w:rPr>
              <w:t>废气</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均能达标排放</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。因此，熔融、压铸</w:t>
            </w:r>
            <w:r>
              <w:rPr>
                <w:rFonts w:hint="default" w:ascii="Times New Roman" w:hAnsi="Times New Roman"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脱模</w:t>
            </w:r>
            <w:r>
              <w:rPr>
                <w:rFonts w:hint="default" w:ascii="Times New Roman" w:hAnsi="Times New Roman" w:cs="Times New Roman"/>
                <w:color w:val="000000" w:themeColor="text1"/>
                <w:spacing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天然气燃烧废气</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经水喷淋处理后通过15m排气筒高空排放是可行的</w:t>
            </w:r>
            <w:r>
              <w:rPr>
                <w:rFonts w:hint="default" w:ascii="Times New Roman" w:hAnsi="Times New Roman" w:cs="Times New Roman"/>
                <w:color w:val="000000" w:themeColor="text1"/>
                <w:spacing w:val="0"/>
                <w:sz w:val="21"/>
                <w:szCs w:val="21"/>
                <w:highlight w:val="none"/>
                <w:lang w:eastAsia="zh-CN"/>
                <w14:textFill>
                  <w14:solidFill>
                    <w14:schemeClr w14:val="tx1"/>
                  </w14:solidFill>
                </w14:textFill>
              </w:rPr>
              <w:t>。</w:t>
            </w:r>
          </w:p>
          <w:p w14:paraId="2D34158A">
            <w:pPr>
              <w:keepNext w:val="0"/>
              <w:keepLines w:val="0"/>
              <w:pageBreakBefore w:val="0"/>
              <w:widowControl w:val="0"/>
              <w:suppressLineNumbers w:val="0"/>
              <w:shd w:val="clear"/>
              <w:tabs>
                <w:tab w:val="left" w:pos="960"/>
              </w:tabs>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喷淋塔的工作原理</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喷淋塔是一种常用的环保设备，主要用于去除废气中的颗粒物和恶臭气体。喷淋塔中喷淋系统将水雾喷洒到空气中，使水雾与废气中的污染物充分接触，从而实现对污染物的收集，部分较大的颗粒物会在重力作用下自然沉降，达到去除效果。经过水喷淋塔处理后，废气中的污染物被去除，洁净的空气被排出，因此项目产生的废气对周围环境影响不大，该废气处理方式具有可行性</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p w14:paraId="6CCB67D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firstLine="442" w:firstLineChars="200"/>
              <w:jc w:val="both"/>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大气监测计划</w:t>
            </w:r>
          </w:p>
          <w:p w14:paraId="17DE014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根据《排污单位自行监测技术指南</w:t>
            </w:r>
            <w:r>
              <w:rPr>
                <w:rFonts w:hint="eastAsia"/>
                <w:color w:val="000000" w:themeColor="text1"/>
                <w14:textFill>
                  <w14:solidFill>
                    <w14:schemeClr w14:val="tx1"/>
                  </w14:solidFill>
                </w14:textFill>
              </w:rPr>
              <w:t>金属铸造工业</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eastAsia"/>
                <w:color w:val="000000" w:themeColor="text1"/>
                <w14:textFill>
                  <w14:solidFill>
                    <w14:schemeClr w14:val="tx1"/>
                  </w14:solidFill>
                </w14:textFill>
              </w:rPr>
              <w:t>HJ 1251—2022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《排污许可证申请与核发技术规范金属铸造工业》（HJ115-2020)，</w:t>
            </w:r>
            <w:r>
              <w:rPr>
                <w:rFonts w:hint="default" w:ascii="Times New Roman" w:hAnsi="Times New Roman" w:eastAsia="宋体" w:cs="Times New Roman"/>
                <w:color w:val="000000" w:themeColor="text1"/>
                <w:sz w:val="21"/>
                <w:szCs w:val="21"/>
                <w:highlight w:val="none"/>
                <w14:textFill>
                  <w14:solidFill>
                    <w14:schemeClr w14:val="tx1"/>
                  </w14:solidFill>
                </w14:textFill>
              </w:rPr>
              <w:t>项目污染源监测计划见下表。</w:t>
            </w:r>
          </w:p>
          <w:p w14:paraId="218EC4C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jc w:val="center"/>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表2</w:t>
            </w:r>
            <w:r>
              <w:rPr>
                <w:rFonts w:hint="eastAsia" w:cs="Times New Roman"/>
                <w:b/>
                <w:bCs w:val="0"/>
                <w:color w:val="000000" w:themeColor="text1"/>
                <w:spacing w:val="-10"/>
                <w:sz w:val="24"/>
                <w:szCs w:val="24"/>
                <w:highlight w:val="none"/>
                <w:lang w:val="en-US" w:eastAsia="zh-CN"/>
                <w14:textFill>
                  <w14:solidFill>
                    <w14:schemeClr w14:val="tx1"/>
                  </w14:solidFill>
                </w14:textFill>
              </w:rPr>
              <w:t>8</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有组织废气监测方案</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1700"/>
              <w:gridCol w:w="1252"/>
              <w:gridCol w:w="3124"/>
            </w:tblGrid>
            <w:tr w14:paraId="29948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noWrap w:val="0"/>
                  <w:vAlign w:val="center"/>
                </w:tcPr>
                <w:p w14:paraId="6148BA7D">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bidi="ar"/>
                      <w14:textFill>
                        <w14:solidFill>
                          <w14:schemeClr w14:val="tx1"/>
                        </w14:solidFill>
                      </w14:textFill>
                    </w:rPr>
                    <w:t>监测点位</w:t>
                  </w:r>
                </w:p>
              </w:tc>
              <w:tc>
                <w:tcPr>
                  <w:tcW w:w="1700" w:type="dxa"/>
                  <w:noWrap w:val="0"/>
                  <w:vAlign w:val="center"/>
                </w:tcPr>
                <w:p w14:paraId="55186763">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bidi="ar"/>
                      <w14:textFill>
                        <w14:solidFill>
                          <w14:schemeClr w14:val="tx1"/>
                        </w14:solidFill>
                      </w14:textFill>
                    </w:rPr>
                    <w:t>监测指标</w:t>
                  </w:r>
                </w:p>
              </w:tc>
              <w:tc>
                <w:tcPr>
                  <w:tcW w:w="1252" w:type="dxa"/>
                  <w:noWrap w:val="0"/>
                  <w:vAlign w:val="center"/>
                </w:tcPr>
                <w:p w14:paraId="1ACFDDF3">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bidi="ar"/>
                      <w14:textFill>
                        <w14:solidFill>
                          <w14:schemeClr w14:val="tx1"/>
                        </w14:solidFill>
                      </w14:textFill>
                    </w:rPr>
                    <w:t>监测频次</w:t>
                  </w:r>
                </w:p>
              </w:tc>
              <w:tc>
                <w:tcPr>
                  <w:tcW w:w="3124" w:type="dxa"/>
                  <w:noWrap w:val="0"/>
                  <w:vAlign w:val="center"/>
                </w:tcPr>
                <w:p w14:paraId="3C3A8C99">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bidi="ar"/>
                      <w14:textFill>
                        <w14:solidFill>
                          <w14:schemeClr w14:val="tx1"/>
                        </w14:solidFill>
                      </w14:textFill>
                    </w:rPr>
                    <w:t>执行排放标准</w:t>
                  </w:r>
                </w:p>
              </w:tc>
            </w:tr>
            <w:tr w14:paraId="3ECF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restart"/>
                  <w:noWrap w:val="0"/>
                  <w:vAlign w:val="center"/>
                </w:tcPr>
                <w:p w14:paraId="7E583998">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G1</w:t>
                  </w:r>
                </w:p>
              </w:tc>
              <w:tc>
                <w:tcPr>
                  <w:tcW w:w="1700" w:type="dxa"/>
                  <w:noWrap w:val="0"/>
                  <w:vAlign w:val="center"/>
                </w:tcPr>
                <w:p w14:paraId="788022AA">
                  <w:pPr>
                    <w:shd w:val="clear"/>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非甲烷总烃</w:t>
                  </w:r>
                </w:p>
              </w:tc>
              <w:tc>
                <w:tcPr>
                  <w:tcW w:w="1252" w:type="dxa"/>
                  <w:noWrap w:val="0"/>
                  <w:vAlign w:val="center"/>
                </w:tcPr>
                <w:p w14:paraId="6E4C6F91">
                  <w:pPr>
                    <w:shd w:val="clear"/>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bCs/>
                      <w:color w:val="000000" w:themeColor="text1"/>
                      <w:szCs w:val="21"/>
                      <w:highlight w:val="none"/>
                      <w14:textFill>
                        <w14:solidFill>
                          <w14:schemeClr w14:val="tx1"/>
                        </w14:solidFill>
                      </w14:textFill>
                    </w:rPr>
                    <w:t>1次/</w:t>
                  </w:r>
                  <w:r>
                    <w:rPr>
                      <w:rFonts w:hint="eastAsia"/>
                      <w:bCs/>
                      <w:color w:val="000000" w:themeColor="text1"/>
                      <w:szCs w:val="21"/>
                      <w:highlight w:val="none"/>
                      <w14:textFill>
                        <w14:solidFill>
                          <w14:schemeClr w14:val="tx1"/>
                        </w14:solidFill>
                      </w14:textFill>
                    </w:rPr>
                    <w:t>年</w:t>
                  </w:r>
                </w:p>
              </w:tc>
              <w:tc>
                <w:tcPr>
                  <w:tcW w:w="3124" w:type="dxa"/>
                  <w:vMerge w:val="restart"/>
                  <w:noWrap w:val="0"/>
                  <w:vAlign w:val="center"/>
                </w:tcPr>
                <w:p w14:paraId="2F97D71B">
                  <w:pPr>
                    <w:keepNext w:val="0"/>
                    <w:keepLines w:val="0"/>
                    <w:pageBreakBefore w:val="0"/>
                    <w:widowControl/>
                    <w:suppressLineNumbers w:val="0"/>
                    <w:kinsoku/>
                    <w:wordWrap w:val="0"/>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广东省地方标准《固定污染源挥发性有机物综合排放标准》（</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DB44/2367-2022</w:t>
                  </w:r>
                  <w:r>
                    <w:rPr>
                      <w:rFonts w:hint="eastAsia" w:ascii="宋体" w:hAnsi="宋体" w:eastAsia="宋体" w:cs="宋体"/>
                      <w:color w:val="000000" w:themeColor="text1"/>
                      <w:kern w:val="0"/>
                      <w:sz w:val="21"/>
                      <w:szCs w:val="21"/>
                      <w:lang w:val="en-US" w:eastAsia="zh-CN" w:bidi="ar"/>
                      <w14:textFill>
                        <w14:solidFill>
                          <w14:schemeClr w14:val="tx1"/>
                        </w14:solidFill>
                      </w14:textFill>
                    </w:rPr>
                    <w:t>）表</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r>
                    <w:rPr>
                      <w:rFonts w:hint="eastAsia" w:ascii="宋体" w:hAnsi="宋体" w:eastAsia="宋体" w:cs="宋体"/>
                      <w:color w:val="000000" w:themeColor="text1"/>
                      <w:kern w:val="0"/>
                      <w:sz w:val="21"/>
                      <w:szCs w:val="21"/>
                      <w:lang w:val="en-US" w:eastAsia="zh-CN" w:bidi="ar"/>
                      <w14:textFill>
                        <w14:solidFill>
                          <w14:schemeClr w14:val="tx1"/>
                        </w14:solidFill>
                      </w14:textFill>
                    </w:rPr>
                    <w:t>挥发性有机物排放限值</w:t>
                  </w:r>
                </w:p>
              </w:tc>
            </w:tr>
            <w:tr w14:paraId="2906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109" w:type="dxa"/>
                  <w:vMerge w:val="continue"/>
                  <w:noWrap w:val="0"/>
                  <w:vAlign w:val="center"/>
                </w:tcPr>
                <w:p w14:paraId="05E910C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700" w:type="dxa"/>
                  <w:noWrap w:val="0"/>
                  <w:vAlign w:val="center"/>
                </w:tcPr>
                <w:p w14:paraId="5FAD0226">
                  <w:pPr>
                    <w:shd w:val="clear"/>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TVOC</w:t>
                  </w:r>
                </w:p>
              </w:tc>
              <w:tc>
                <w:tcPr>
                  <w:tcW w:w="1252" w:type="dxa"/>
                  <w:noWrap w:val="0"/>
                  <w:vAlign w:val="center"/>
                </w:tcPr>
                <w:p w14:paraId="422627E3">
                  <w:pPr>
                    <w:shd w:val="clear"/>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bCs/>
                      <w:color w:val="000000" w:themeColor="text1"/>
                      <w:szCs w:val="21"/>
                      <w:highlight w:val="none"/>
                      <w14:textFill>
                        <w14:solidFill>
                          <w14:schemeClr w14:val="tx1"/>
                        </w14:solidFill>
                      </w14:textFill>
                    </w:rPr>
                    <w:t>1次/</w:t>
                  </w:r>
                  <w:r>
                    <w:rPr>
                      <w:rFonts w:hint="eastAsia"/>
                      <w:bCs/>
                      <w:color w:val="000000" w:themeColor="text1"/>
                      <w:szCs w:val="21"/>
                      <w:highlight w:val="none"/>
                      <w14:textFill>
                        <w14:solidFill>
                          <w14:schemeClr w14:val="tx1"/>
                        </w14:solidFill>
                      </w14:textFill>
                    </w:rPr>
                    <w:t>年</w:t>
                  </w:r>
                </w:p>
              </w:tc>
              <w:tc>
                <w:tcPr>
                  <w:tcW w:w="3124" w:type="dxa"/>
                  <w:vMerge w:val="continue"/>
                  <w:noWrap w:val="0"/>
                  <w:vAlign w:val="center"/>
                </w:tcPr>
                <w:p w14:paraId="40A6DDF7">
                  <w:pPr>
                    <w:shd w:val="clear"/>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r>
            <w:tr w14:paraId="72E6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232760F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700" w:type="dxa"/>
                  <w:noWrap w:val="0"/>
                  <w:vAlign w:val="center"/>
                </w:tcPr>
                <w:p w14:paraId="159FC960">
                  <w:pPr>
                    <w:shd w:val="clear"/>
                    <w:jc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颗粒物</w:t>
                  </w:r>
                </w:p>
              </w:tc>
              <w:tc>
                <w:tcPr>
                  <w:tcW w:w="1252" w:type="dxa"/>
                  <w:noWrap w:val="0"/>
                  <w:vAlign w:val="center"/>
                </w:tcPr>
                <w:p w14:paraId="0D6BA396">
                  <w:pPr>
                    <w:shd w:val="clear"/>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r>
                    <w:rPr>
                      <w:bCs/>
                      <w:color w:val="000000" w:themeColor="text1"/>
                      <w:szCs w:val="21"/>
                      <w:highlight w:val="none"/>
                      <w14:textFill>
                        <w14:solidFill>
                          <w14:schemeClr w14:val="tx1"/>
                        </w14:solidFill>
                      </w14:textFill>
                    </w:rPr>
                    <w:t>1次/</w:t>
                  </w:r>
                  <w:r>
                    <w:rPr>
                      <w:rFonts w:hint="eastAsia"/>
                      <w:bCs/>
                      <w:color w:val="000000" w:themeColor="text1"/>
                      <w:szCs w:val="21"/>
                      <w:highlight w:val="none"/>
                      <w:lang w:val="en-US" w:eastAsia="zh-CN"/>
                      <w14:textFill>
                        <w14:solidFill>
                          <w14:schemeClr w14:val="tx1"/>
                        </w14:solidFill>
                      </w14:textFill>
                    </w:rPr>
                    <w:t>半</w:t>
                  </w:r>
                  <w:r>
                    <w:rPr>
                      <w:rFonts w:hint="eastAsia"/>
                      <w:bCs/>
                      <w:color w:val="000000" w:themeColor="text1"/>
                      <w:szCs w:val="21"/>
                      <w:highlight w:val="none"/>
                      <w14:textFill>
                        <w14:solidFill>
                          <w14:schemeClr w14:val="tx1"/>
                        </w14:solidFill>
                      </w14:textFill>
                    </w:rPr>
                    <w:t>年</w:t>
                  </w:r>
                </w:p>
              </w:tc>
              <w:tc>
                <w:tcPr>
                  <w:tcW w:w="3124" w:type="dxa"/>
                  <w:vMerge w:val="restart"/>
                  <w:noWrap w:val="0"/>
                  <w:vAlign w:val="center"/>
                </w:tcPr>
                <w:p w14:paraId="7208CB6F">
                  <w:pPr>
                    <w:pStyle w:val="75"/>
                    <w:spacing w:before="40" w:line="217" w:lineRule="auto"/>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ascii="Times New Roman" w:hAnsi="Times New Roman" w:eastAsia="宋体"/>
                      <w:color w:val="000000" w:themeColor="text1"/>
                      <w:spacing w:val="0"/>
                      <w:sz w:val="21"/>
                      <w:szCs w:val="22"/>
                      <w:highlight w:val="none"/>
                      <w14:textFill>
                        <w14:solidFill>
                          <w14:schemeClr w14:val="tx1"/>
                        </w14:solidFill>
                      </w14:textFill>
                    </w:rPr>
                    <w:t>《铸造工业大气污染物排放标准》(GB39726-2020</w:t>
                  </w:r>
                  <w:r>
                    <w:rPr>
                      <w:rFonts w:hint="eastAsia" w:ascii="Times New Roman" w:hAnsi="Times New Roman"/>
                      <w:color w:val="000000" w:themeColor="text1"/>
                      <w:spacing w:val="0"/>
                      <w:sz w:val="21"/>
                      <w:szCs w:val="22"/>
                      <w:highlight w:val="none"/>
                      <w:lang w:eastAsia="zh-CN"/>
                      <w14:textFill>
                        <w14:solidFill>
                          <w14:schemeClr w14:val="tx1"/>
                        </w14:solidFill>
                      </w14:textFill>
                    </w:rPr>
                    <w:t>）</w:t>
                  </w:r>
                  <w:r>
                    <w:rPr>
                      <w:rFonts w:ascii="Times New Roman" w:hAnsi="Times New Roman" w:eastAsia="宋体"/>
                      <w:color w:val="000000" w:themeColor="text1"/>
                      <w:spacing w:val="0"/>
                      <w:sz w:val="21"/>
                      <w:szCs w:val="22"/>
                      <w:highlight w:val="none"/>
                      <w14:textFill>
                        <w14:solidFill>
                          <w14:schemeClr w14:val="tx1"/>
                        </w14:solidFill>
                      </w14:textFill>
                    </w:rPr>
                    <w:t>表1大气污染物排放限值</w:t>
                  </w:r>
                  <w:r>
                    <w:rPr>
                      <w:rFonts w:hint="eastAsia" w:ascii="Times New Roman" w:hAnsi="Times New Roman" w:eastAsia="宋体"/>
                      <w:color w:val="000000" w:themeColor="text1"/>
                      <w:spacing w:val="0"/>
                      <w:sz w:val="21"/>
                      <w:szCs w:val="22"/>
                      <w:highlight w:val="none"/>
                      <w:lang w:eastAsia="zh-CN"/>
                      <w14:textFill>
                        <w14:solidFill>
                          <w14:schemeClr w14:val="tx1"/>
                        </w14:solidFill>
                      </w14:textFill>
                    </w:rPr>
                    <w:t>。</w:t>
                  </w:r>
                </w:p>
              </w:tc>
            </w:tr>
            <w:tr w14:paraId="25F7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23CD3A18">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700" w:type="dxa"/>
                  <w:noWrap w:val="0"/>
                  <w:vAlign w:val="center"/>
                </w:tcPr>
                <w:p w14:paraId="4B627611">
                  <w:pPr>
                    <w:shd w:val="clear"/>
                    <w:jc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二氧化硫</w:t>
                  </w:r>
                </w:p>
              </w:tc>
              <w:tc>
                <w:tcPr>
                  <w:tcW w:w="1252" w:type="dxa"/>
                  <w:noWrap w:val="0"/>
                  <w:vAlign w:val="center"/>
                </w:tcPr>
                <w:p w14:paraId="2A0391C8">
                  <w:pPr>
                    <w:shd w:val="clear"/>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r>
                    <w:rPr>
                      <w:bCs/>
                      <w:color w:val="000000" w:themeColor="text1"/>
                      <w:szCs w:val="21"/>
                      <w:highlight w:val="none"/>
                      <w14:textFill>
                        <w14:solidFill>
                          <w14:schemeClr w14:val="tx1"/>
                        </w14:solidFill>
                      </w14:textFill>
                    </w:rPr>
                    <w:t>1次/</w:t>
                  </w:r>
                  <w:r>
                    <w:rPr>
                      <w:rFonts w:hint="eastAsia"/>
                      <w:bCs/>
                      <w:color w:val="000000" w:themeColor="text1"/>
                      <w:szCs w:val="21"/>
                      <w:highlight w:val="none"/>
                      <w:lang w:val="en-US" w:eastAsia="zh-CN"/>
                      <w14:textFill>
                        <w14:solidFill>
                          <w14:schemeClr w14:val="tx1"/>
                        </w14:solidFill>
                      </w14:textFill>
                    </w:rPr>
                    <w:t>半</w:t>
                  </w:r>
                  <w:r>
                    <w:rPr>
                      <w:rFonts w:hint="eastAsia"/>
                      <w:bCs/>
                      <w:color w:val="000000" w:themeColor="text1"/>
                      <w:szCs w:val="21"/>
                      <w:highlight w:val="none"/>
                      <w14:textFill>
                        <w14:solidFill>
                          <w14:schemeClr w14:val="tx1"/>
                        </w14:solidFill>
                      </w14:textFill>
                    </w:rPr>
                    <w:t>年</w:t>
                  </w:r>
                </w:p>
              </w:tc>
              <w:tc>
                <w:tcPr>
                  <w:tcW w:w="3124" w:type="dxa"/>
                  <w:vMerge w:val="continue"/>
                  <w:noWrap w:val="0"/>
                  <w:vAlign w:val="center"/>
                </w:tcPr>
                <w:p w14:paraId="6B28E777">
                  <w:pPr>
                    <w:shd w:val="clea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4A2B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45EDD7E1">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700" w:type="dxa"/>
                  <w:noWrap w:val="0"/>
                  <w:vAlign w:val="center"/>
                </w:tcPr>
                <w:p w14:paraId="26D26F41">
                  <w:pPr>
                    <w:shd w:val="clear"/>
                    <w:jc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氮氧化物</w:t>
                  </w:r>
                </w:p>
              </w:tc>
              <w:tc>
                <w:tcPr>
                  <w:tcW w:w="1252" w:type="dxa"/>
                  <w:noWrap w:val="0"/>
                  <w:vAlign w:val="center"/>
                </w:tcPr>
                <w:p w14:paraId="06B11C26">
                  <w:pPr>
                    <w:shd w:val="clear"/>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r>
                    <w:rPr>
                      <w:bCs/>
                      <w:color w:val="000000" w:themeColor="text1"/>
                      <w:szCs w:val="21"/>
                      <w:highlight w:val="none"/>
                      <w14:textFill>
                        <w14:solidFill>
                          <w14:schemeClr w14:val="tx1"/>
                        </w14:solidFill>
                      </w14:textFill>
                    </w:rPr>
                    <w:t>1次/</w:t>
                  </w:r>
                  <w:r>
                    <w:rPr>
                      <w:rFonts w:hint="eastAsia"/>
                      <w:bCs/>
                      <w:color w:val="000000" w:themeColor="text1"/>
                      <w:szCs w:val="21"/>
                      <w:highlight w:val="none"/>
                      <w:lang w:val="en-US" w:eastAsia="zh-CN"/>
                      <w14:textFill>
                        <w14:solidFill>
                          <w14:schemeClr w14:val="tx1"/>
                        </w14:solidFill>
                      </w14:textFill>
                    </w:rPr>
                    <w:t>半</w:t>
                  </w:r>
                  <w:r>
                    <w:rPr>
                      <w:rFonts w:hint="eastAsia"/>
                      <w:bCs/>
                      <w:color w:val="000000" w:themeColor="text1"/>
                      <w:szCs w:val="21"/>
                      <w:highlight w:val="none"/>
                      <w14:textFill>
                        <w14:solidFill>
                          <w14:schemeClr w14:val="tx1"/>
                        </w14:solidFill>
                      </w14:textFill>
                    </w:rPr>
                    <w:t>年</w:t>
                  </w:r>
                </w:p>
              </w:tc>
              <w:tc>
                <w:tcPr>
                  <w:tcW w:w="3124" w:type="dxa"/>
                  <w:vMerge w:val="continue"/>
                  <w:noWrap w:val="0"/>
                  <w:vAlign w:val="center"/>
                </w:tcPr>
                <w:p w14:paraId="0545C346">
                  <w:pPr>
                    <w:shd w:val="clea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3CD5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058D41A8">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700" w:type="dxa"/>
                  <w:noWrap w:val="0"/>
                  <w:vAlign w:val="center"/>
                </w:tcPr>
                <w:p w14:paraId="2F887A0B">
                  <w:pPr>
                    <w:shd w:val="clear"/>
                    <w:jc w:val="center"/>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林格曼黑度</w:t>
                  </w:r>
                </w:p>
              </w:tc>
              <w:tc>
                <w:tcPr>
                  <w:tcW w:w="1252" w:type="dxa"/>
                  <w:noWrap w:val="0"/>
                  <w:vAlign w:val="center"/>
                </w:tcPr>
                <w:p w14:paraId="7800B069">
                  <w:pPr>
                    <w:shd w:val="clear"/>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1次/年</w:t>
                  </w:r>
                </w:p>
              </w:tc>
              <w:tc>
                <w:tcPr>
                  <w:tcW w:w="3124" w:type="dxa"/>
                  <w:noWrap w:val="0"/>
                  <w:vAlign w:val="center"/>
                </w:tcPr>
                <w:p w14:paraId="6A1B37C3">
                  <w:pPr>
                    <w:shd w:val="clea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《工业炉窑大气污染物排放标准》（GB9078-1996）表2金属熔化炉二级标准</w:t>
                  </w:r>
                </w:p>
              </w:tc>
            </w:tr>
            <w:tr w14:paraId="0E56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noWrap w:val="0"/>
                  <w:vAlign w:val="center"/>
                </w:tcPr>
                <w:p w14:paraId="02A6E34E">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700" w:type="dxa"/>
                  <w:noWrap w:val="0"/>
                  <w:vAlign w:val="center"/>
                </w:tcPr>
                <w:p w14:paraId="54BD6783">
                  <w:pPr>
                    <w:shd w:val="clear"/>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臭气浓度</w:t>
                  </w:r>
                </w:p>
              </w:tc>
              <w:tc>
                <w:tcPr>
                  <w:tcW w:w="1252" w:type="dxa"/>
                  <w:noWrap w:val="0"/>
                  <w:vAlign w:val="center"/>
                </w:tcPr>
                <w:p w14:paraId="49EB4C89">
                  <w:pPr>
                    <w:shd w:val="clear"/>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r>
                    <w:rPr>
                      <w:bCs/>
                      <w:color w:val="000000" w:themeColor="text1"/>
                      <w:szCs w:val="21"/>
                      <w:highlight w:val="none"/>
                      <w14:textFill>
                        <w14:solidFill>
                          <w14:schemeClr w14:val="tx1"/>
                        </w14:solidFill>
                      </w14:textFill>
                    </w:rPr>
                    <w:t>1次/</w:t>
                  </w:r>
                  <w:r>
                    <w:rPr>
                      <w:rFonts w:hint="eastAsia"/>
                      <w:bCs/>
                      <w:color w:val="000000" w:themeColor="text1"/>
                      <w:szCs w:val="21"/>
                      <w:highlight w:val="none"/>
                      <w14:textFill>
                        <w14:solidFill>
                          <w14:schemeClr w14:val="tx1"/>
                        </w14:solidFill>
                      </w14:textFill>
                    </w:rPr>
                    <w:t>年</w:t>
                  </w:r>
                </w:p>
              </w:tc>
              <w:tc>
                <w:tcPr>
                  <w:tcW w:w="3124" w:type="dxa"/>
                  <w:noWrap w:val="0"/>
                  <w:vAlign w:val="center"/>
                </w:tcPr>
                <w:p w14:paraId="12CEB212">
                  <w:pPr>
                    <w:shd w:val="clea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color w:val="000000" w:themeColor="text1"/>
                      <w:highlight w:val="none"/>
                      <w:lang w:bidi="ar"/>
                      <w14:textFill>
                        <w14:solidFill>
                          <w14:schemeClr w14:val="tx1"/>
                        </w14:solidFill>
                      </w14:textFill>
                    </w:rPr>
                    <w:t>《恶臭污染物排放标准》（GB14554-93）表</w:t>
                  </w:r>
                  <w:r>
                    <w:rPr>
                      <w:rFonts w:hint="eastAsia"/>
                      <w:color w:val="000000" w:themeColor="text1"/>
                      <w:highlight w:val="none"/>
                      <w:lang w:val="en-US" w:eastAsia="zh-CN" w:bidi="ar"/>
                      <w14:textFill>
                        <w14:solidFill>
                          <w14:schemeClr w14:val="tx1"/>
                        </w14:solidFill>
                      </w14:textFill>
                    </w:rPr>
                    <w:t>2</w:t>
                  </w:r>
                  <w:r>
                    <w:rPr>
                      <w:color w:val="000000" w:themeColor="text1"/>
                      <w:highlight w:val="none"/>
                      <w:lang w:bidi="ar"/>
                      <w14:textFill>
                        <w14:solidFill>
                          <w14:schemeClr w14:val="tx1"/>
                        </w14:solidFill>
                      </w14:textFill>
                    </w:rPr>
                    <w:t>恶臭污染物</w:t>
                  </w:r>
                  <w:r>
                    <w:rPr>
                      <w:rFonts w:hint="eastAsia"/>
                      <w:color w:val="000000" w:themeColor="text1"/>
                      <w:highlight w:val="none"/>
                      <w:lang w:val="en-US" w:eastAsia="zh-CN" w:bidi="ar"/>
                      <w14:textFill>
                        <w14:solidFill>
                          <w14:schemeClr w14:val="tx1"/>
                        </w14:solidFill>
                      </w14:textFill>
                    </w:rPr>
                    <w:t>排放</w:t>
                  </w:r>
                  <w:r>
                    <w:rPr>
                      <w:color w:val="000000" w:themeColor="text1"/>
                      <w:highlight w:val="none"/>
                      <w:lang w:bidi="ar"/>
                      <w14:textFill>
                        <w14:solidFill>
                          <w14:schemeClr w14:val="tx1"/>
                        </w14:solidFill>
                      </w14:textFill>
                    </w:rPr>
                    <w:t>标准值</w:t>
                  </w:r>
                </w:p>
              </w:tc>
            </w:tr>
          </w:tbl>
          <w:p w14:paraId="1F605FAE">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jc w:val="center"/>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cs="Times New Roman"/>
                <w:b/>
                <w:bCs w:val="0"/>
                <w:color w:val="000000" w:themeColor="text1"/>
                <w:spacing w:val="-10"/>
                <w:sz w:val="24"/>
                <w:szCs w:val="24"/>
                <w:highlight w:val="none"/>
                <w:lang w:val="en-US" w:eastAsia="zh-CN"/>
                <w14:textFill>
                  <w14:solidFill>
                    <w14:schemeClr w14:val="tx1"/>
                  </w14:solidFill>
                </w14:textFill>
              </w:rPr>
              <w:t>表</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2</w:t>
            </w:r>
            <w:r>
              <w:rPr>
                <w:rFonts w:hint="eastAsia" w:cs="Times New Roman"/>
                <w:b/>
                <w:bCs w:val="0"/>
                <w:color w:val="000000" w:themeColor="text1"/>
                <w:spacing w:val="-10"/>
                <w:sz w:val="24"/>
                <w:szCs w:val="24"/>
                <w:highlight w:val="none"/>
                <w:lang w:val="en-US" w:eastAsia="zh-CN"/>
                <w14:textFill>
                  <w14:solidFill>
                    <w14:schemeClr w14:val="tx1"/>
                  </w14:solidFill>
                </w14:textFill>
              </w:rPr>
              <w:t>9</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无组织废气监测计划表</w:t>
            </w:r>
          </w:p>
          <w:tbl>
            <w:tblPr>
              <w:tblStyle w:val="34"/>
              <w:tblW w:w="7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6"/>
              <w:gridCol w:w="1363"/>
              <w:gridCol w:w="1183"/>
              <w:gridCol w:w="3776"/>
            </w:tblGrid>
            <w:tr w14:paraId="7647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noWrap w:val="0"/>
                  <w:vAlign w:val="center"/>
                </w:tcPr>
                <w:p w14:paraId="66372C80">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bidi="ar"/>
                      <w14:textFill>
                        <w14:solidFill>
                          <w14:schemeClr w14:val="tx1"/>
                        </w14:solidFill>
                      </w14:textFill>
                    </w:rPr>
                    <w:t>监测点位</w:t>
                  </w:r>
                </w:p>
              </w:tc>
              <w:tc>
                <w:tcPr>
                  <w:tcW w:w="1363" w:type="dxa"/>
                  <w:noWrap w:val="0"/>
                  <w:vAlign w:val="center"/>
                </w:tcPr>
                <w:p w14:paraId="2C8D7345">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bidi="ar"/>
                      <w14:textFill>
                        <w14:solidFill>
                          <w14:schemeClr w14:val="tx1"/>
                        </w14:solidFill>
                      </w14:textFill>
                    </w:rPr>
                    <w:t>监测指标</w:t>
                  </w:r>
                </w:p>
              </w:tc>
              <w:tc>
                <w:tcPr>
                  <w:tcW w:w="1183" w:type="dxa"/>
                  <w:noWrap w:val="0"/>
                  <w:vAlign w:val="center"/>
                </w:tcPr>
                <w:p w14:paraId="3FCDD897">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bidi="ar"/>
                      <w14:textFill>
                        <w14:solidFill>
                          <w14:schemeClr w14:val="tx1"/>
                        </w14:solidFill>
                      </w14:textFill>
                    </w:rPr>
                    <w:t>监测频次</w:t>
                  </w:r>
                </w:p>
              </w:tc>
              <w:tc>
                <w:tcPr>
                  <w:tcW w:w="3776" w:type="dxa"/>
                  <w:noWrap w:val="0"/>
                  <w:vAlign w:val="center"/>
                </w:tcPr>
                <w:p w14:paraId="5D6EF966">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bidi="ar"/>
                      <w14:textFill>
                        <w14:solidFill>
                          <w14:schemeClr w14:val="tx1"/>
                        </w14:solidFill>
                      </w14:textFill>
                    </w:rPr>
                    <w:t>执行排放标准</w:t>
                  </w:r>
                </w:p>
              </w:tc>
            </w:tr>
            <w:tr w14:paraId="6796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146" w:type="dxa"/>
                  <w:vMerge w:val="restart"/>
                  <w:noWrap w:val="0"/>
                  <w:vAlign w:val="center"/>
                </w:tcPr>
                <w:p w14:paraId="275E97B9">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厂界</w:t>
                  </w:r>
                </w:p>
              </w:tc>
              <w:tc>
                <w:tcPr>
                  <w:tcW w:w="1363" w:type="dxa"/>
                  <w:noWrap w:val="0"/>
                  <w:vAlign w:val="center"/>
                </w:tcPr>
                <w:p w14:paraId="4DD0447A">
                  <w:pPr>
                    <w:shd w:val="clear"/>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color w:val="000000" w:themeColor="text1"/>
                      <w:szCs w:val="21"/>
                      <w:highlight w:val="none"/>
                      <w14:textFill>
                        <w14:solidFill>
                          <w14:schemeClr w14:val="tx1"/>
                        </w14:solidFill>
                      </w14:textFill>
                    </w:rPr>
                    <w:t>非甲烷总烃</w:t>
                  </w:r>
                </w:p>
              </w:tc>
              <w:tc>
                <w:tcPr>
                  <w:tcW w:w="1183" w:type="dxa"/>
                  <w:noWrap w:val="0"/>
                  <w:vAlign w:val="center"/>
                </w:tcPr>
                <w:p w14:paraId="2FE79A20">
                  <w:pPr>
                    <w:shd w:val="clear"/>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bCs/>
                      <w:color w:val="000000" w:themeColor="text1"/>
                      <w:szCs w:val="21"/>
                      <w:highlight w:val="none"/>
                      <w14:textFill>
                        <w14:solidFill>
                          <w14:schemeClr w14:val="tx1"/>
                        </w14:solidFill>
                      </w14:textFill>
                    </w:rPr>
                    <w:t>1次/年</w:t>
                  </w:r>
                </w:p>
              </w:tc>
              <w:tc>
                <w:tcPr>
                  <w:tcW w:w="3776" w:type="dxa"/>
                  <w:vMerge w:val="restart"/>
                  <w:noWrap w:val="0"/>
                  <w:vAlign w:val="center"/>
                </w:tcPr>
                <w:p w14:paraId="54A2BE9B">
                  <w:pPr>
                    <w:shd w:val="clear"/>
                    <w:jc w:val="center"/>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ascii="Times New Roman" w:hAnsi="Times New Roman" w:eastAsia="宋体"/>
                      <w:color w:val="000000" w:themeColor="text1"/>
                      <w:spacing w:val="0"/>
                      <w:sz w:val="21"/>
                      <w:szCs w:val="22"/>
                      <w:highlight w:val="none"/>
                      <w14:textFill>
                        <w14:solidFill>
                          <w14:schemeClr w14:val="tx1"/>
                        </w14:solidFill>
                      </w14:textFill>
                    </w:rPr>
                    <w:t>广东省《大气污染物排放限值》</w:t>
                  </w:r>
                  <w:r>
                    <w:rPr>
                      <w:rFonts w:hint="eastAsia" w:ascii="Times New Roman" w:hAnsi="Times New Roman"/>
                      <w:color w:val="000000" w:themeColor="text1"/>
                      <w:spacing w:val="0"/>
                      <w:sz w:val="21"/>
                      <w:szCs w:val="22"/>
                      <w:highlight w:val="none"/>
                      <w:lang w:eastAsia="zh-CN"/>
                      <w14:textFill>
                        <w14:solidFill>
                          <w14:schemeClr w14:val="tx1"/>
                        </w14:solidFill>
                      </w14:textFill>
                    </w:rPr>
                    <w:t>（</w:t>
                  </w:r>
                  <w:r>
                    <w:rPr>
                      <w:rFonts w:ascii="Times New Roman" w:hAnsi="Times New Roman" w:eastAsia="宋体"/>
                      <w:color w:val="000000" w:themeColor="text1"/>
                      <w:spacing w:val="0"/>
                      <w:sz w:val="21"/>
                      <w:szCs w:val="22"/>
                      <w:highlight w:val="none"/>
                      <w14:textFill>
                        <w14:solidFill>
                          <w14:schemeClr w14:val="tx1"/>
                        </w14:solidFill>
                      </w14:textFill>
                    </w:rPr>
                    <w:t>DB44/27-2001</w:t>
                  </w:r>
                  <w:r>
                    <w:rPr>
                      <w:rFonts w:hint="eastAsia" w:ascii="Times New Roman" w:hAnsi="Times New Roman"/>
                      <w:color w:val="000000" w:themeColor="text1"/>
                      <w:spacing w:val="0"/>
                      <w:sz w:val="21"/>
                      <w:szCs w:val="22"/>
                      <w:highlight w:val="none"/>
                      <w:lang w:eastAsia="zh-CN"/>
                      <w14:textFill>
                        <w14:solidFill>
                          <w14:schemeClr w14:val="tx1"/>
                        </w14:solidFill>
                      </w14:textFill>
                    </w:rPr>
                    <w:t>）</w:t>
                  </w:r>
                  <w:r>
                    <w:rPr>
                      <w:rFonts w:hint="eastAsia"/>
                      <w:color w:val="000000" w:themeColor="text1"/>
                      <w:spacing w:val="0"/>
                      <w:sz w:val="21"/>
                      <w:szCs w:val="22"/>
                      <w:highlight w:val="none"/>
                      <w:lang w:val="en-US" w:eastAsia="zh-CN"/>
                      <w14:textFill>
                        <w14:solidFill>
                          <w14:schemeClr w14:val="tx1"/>
                        </w14:solidFill>
                      </w14:textFill>
                    </w:rPr>
                    <w:t>表2</w:t>
                  </w:r>
                  <w:r>
                    <w:rPr>
                      <w:rFonts w:ascii="Times New Roman" w:hAnsi="Times New Roman" w:eastAsia="宋体"/>
                      <w:color w:val="000000" w:themeColor="text1"/>
                      <w:spacing w:val="0"/>
                      <w:sz w:val="21"/>
                      <w:szCs w:val="22"/>
                      <w:highlight w:val="none"/>
                      <w14:textFill>
                        <w14:solidFill>
                          <w14:schemeClr w14:val="tx1"/>
                        </w14:solidFill>
                      </w14:textFill>
                    </w:rPr>
                    <w:t>第二时段无组织排放监控浓度限值</w:t>
                  </w:r>
                </w:p>
              </w:tc>
            </w:tr>
            <w:tr w14:paraId="0052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vMerge w:val="continue"/>
                  <w:noWrap w:val="0"/>
                  <w:vAlign w:val="top"/>
                </w:tcPr>
                <w:p w14:paraId="20C032F5">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363" w:type="dxa"/>
                  <w:noWrap w:val="0"/>
                  <w:vAlign w:val="center"/>
                </w:tcPr>
                <w:p w14:paraId="4B2C113E">
                  <w:pPr>
                    <w:shd w:val="clear"/>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颗粒物</w:t>
                  </w:r>
                </w:p>
              </w:tc>
              <w:tc>
                <w:tcPr>
                  <w:tcW w:w="1183" w:type="dxa"/>
                  <w:noWrap w:val="0"/>
                  <w:vAlign w:val="center"/>
                </w:tcPr>
                <w:p w14:paraId="53E55E32">
                  <w:pPr>
                    <w:shd w:val="clear"/>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bCs/>
                      <w:color w:val="000000" w:themeColor="text1"/>
                      <w:szCs w:val="21"/>
                      <w:highlight w:val="none"/>
                      <w14:textFill>
                        <w14:solidFill>
                          <w14:schemeClr w14:val="tx1"/>
                        </w14:solidFill>
                      </w14:textFill>
                    </w:rPr>
                    <w:t>1次/年</w:t>
                  </w:r>
                </w:p>
              </w:tc>
              <w:tc>
                <w:tcPr>
                  <w:tcW w:w="3776" w:type="dxa"/>
                  <w:vMerge w:val="continue"/>
                  <w:noWrap w:val="0"/>
                  <w:vAlign w:val="top"/>
                </w:tcPr>
                <w:p w14:paraId="10BB240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r>
            <w:tr w14:paraId="3ECC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vMerge w:val="continue"/>
                  <w:noWrap w:val="0"/>
                  <w:vAlign w:val="top"/>
                </w:tcPr>
                <w:p w14:paraId="58B1183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363" w:type="dxa"/>
                  <w:noWrap w:val="0"/>
                  <w:vAlign w:val="center"/>
                </w:tcPr>
                <w:p w14:paraId="649AC7C2">
                  <w:pPr>
                    <w:shd w:val="clea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二氧化硫</w:t>
                  </w:r>
                </w:p>
              </w:tc>
              <w:tc>
                <w:tcPr>
                  <w:tcW w:w="1183" w:type="dxa"/>
                  <w:noWrap w:val="0"/>
                  <w:vAlign w:val="center"/>
                </w:tcPr>
                <w:p w14:paraId="102060E7">
                  <w:pPr>
                    <w:shd w:val="clea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1次/年</w:t>
                  </w:r>
                </w:p>
              </w:tc>
              <w:tc>
                <w:tcPr>
                  <w:tcW w:w="3776" w:type="dxa"/>
                  <w:vMerge w:val="continue"/>
                  <w:noWrap w:val="0"/>
                  <w:vAlign w:val="top"/>
                </w:tcPr>
                <w:p w14:paraId="0A7E6A7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r>
            <w:tr w14:paraId="1557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vMerge w:val="continue"/>
                  <w:noWrap w:val="0"/>
                  <w:vAlign w:val="top"/>
                </w:tcPr>
                <w:p w14:paraId="3A3D7A6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363" w:type="dxa"/>
                  <w:noWrap w:val="0"/>
                  <w:vAlign w:val="center"/>
                </w:tcPr>
                <w:p w14:paraId="6C754C99">
                  <w:pPr>
                    <w:shd w:val="clea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氮氧化物</w:t>
                  </w:r>
                </w:p>
              </w:tc>
              <w:tc>
                <w:tcPr>
                  <w:tcW w:w="1183" w:type="dxa"/>
                  <w:noWrap w:val="0"/>
                  <w:vAlign w:val="center"/>
                </w:tcPr>
                <w:p w14:paraId="61A6BC6D">
                  <w:pPr>
                    <w:shd w:val="clea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1次/年</w:t>
                  </w:r>
                </w:p>
              </w:tc>
              <w:tc>
                <w:tcPr>
                  <w:tcW w:w="3776" w:type="dxa"/>
                  <w:vMerge w:val="continue"/>
                  <w:noWrap w:val="0"/>
                  <w:vAlign w:val="top"/>
                </w:tcPr>
                <w:p w14:paraId="414B2D0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r>
            <w:tr w14:paraId="482E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vMerge w:val="continue"/>
                  <w:noWrap w:val="0"/>
                  <w:vAlign w:val="top"/>
                </w:tcPr>
                <w:p w14:paraId="4ED4909C">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1363" w:type="dxa"/>
                  <w:noWrap w:val="0"/>
                  <w:vAlign w:val="center"/>
                </w:tcPr>
                <w:p w14:paraId="725EC1FD">
                  <w:pPr>
                    <w:shd w:val="clea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臭气浓度</w:t>
                  </w:r>
                </w:p>
              </w:tc>
              <w:tc>
                <w:tcPr>
                  <w:tcW w:w="1183" w:type="dxa"/>
                  <w:noWrap w:val="0"/>
                  <w:vAlign w:val="center"/>
                </w:tcPr>
                <w:p w14:paraId="6F34F5CA">
                  <w:pPr>
                    <w:shd w:val="clear"/>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r>
                    <w:rPr>
                      <w:bCs/>
                      <w:color w:val="000000" w:themeColor="text1"/>
                      <w:szCs w:val="21"/>
                      <w:highlight w:val="none"/>
                      <w14:textFill>
                        <w14:solidFill>
                          <w14:schemeClr w14:val="tx1"/>
                        </w14:solidFill>
                      </w14:textFill>
                    </w:rPr>
                    <w:t>1次/年</w:t>
                  </w:r>
                </w:p>
              </w:tc>
              <w:tc>
                <w:tcPr>
                  <w:tcW w:w="3776" w:type="dxa"/>
                  <w:noWrap w:val="0"/>
                  <w:vAlign w:val="top"/>
                </w:tcPr>
                <w:p w14:paraId="3B12E4B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《恶臭污染物排放标准》（GB14554-93）表1恶臭污染物厂界标准值</w:t>
                  </w:r>
                </w:p>
              </w:tc>
            </w:tr>
            <w:tr w14:paraId="1AE9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vMerge w:val="restart"/>
                  <w:noWrap w:val="0"/>
                  <w:vAlign w:val="center"/>
                </w:tcPr>
                <w:p w14:paraId="36FF0232">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厂区内</w:t>
                  </w:r>
                </w:p>
              </w:tc>
              <w:tc>
                <w:tcPr>
                  <w:tcW w:w="1363" w:type="dxa"/>
                  <w:noWrap w:val="0"/>
                  <w:vAlign w:val="center"/>
                </w:tcPr>
                <w:p w14:paraId="5BD1A3AE">
                  <w:pPr>
                    <w:widowControl/>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非甲烷总烃</w:t>
                  </w:r>
                </w:p>
              </w:tc>
              <w:tc>
                <w:tcPr>
                  <w:tcW w:w="1183" w:type="dxa"/>
                  <w:noWrap w:val="0"/>
                  <w:vAlign w:val="center"/>
                </w:tcPr>
                <w:p w14:paraId="24EEB790">
                  <w:pPr>
                    <w:shd w:val="clear"/>
                    <w:spacing w:line="240" w:lineRule="auto"/>
                    <w:jc w:val="center"/>
                    <w:rPr>
                      <w:rFonts w:hint="default" w:ascii="Times New Roman" w:hAnsi="Times New Roman" w:eastAsia="宋体" w:cs="Times New Roman"/>
                      <w:b/>
                      <w:bCs w:val="0"/>
                      <w:color w:val="000000" w:themeColor="text1"/>
                      <w:spacing w:val="-10"/>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1次/年</w:t>
                  </w:r>
                </w:p>
              </w:tc>
              <w:tc>
                <w:tcPr>
                  <w:tcW w:w="3776" w:type="dxa"/>
                  <w:noWrap w:val="0"/>
                  <w:vAlign w:val="center"/>
                </w:tcPr>
                <w:p w14:paraId="1E11C1A6">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ascii="Times New Roman" w:hAnsi="Times New Roman" w:eastAsia="宋体"/>
                      <w:color w:val="000000" w:themeColor="text1"/>
                      <w:spacing w:val="0"/>
                      <w:sz w:val="21"/>
                      <w:szCs w:val="19"/>
                      <w:highlight w:val="none"/>
                      <w14:textFill>
                        <w14:solidFill>
                          <w14:schemeClr w14:val="tx1"/>
                        </w14:solidFill>
                      </w14:textFill>
                    </w:rPr>
                    <w:t>《铸造工业大气污染物排放标准》</w:t>
                  </w:r>
                  <w:r>
                    <w:rPr>
                      <w:rFonts w:hint="eastAsia" w:ascii="Times New Roman" w:hAnsi="Times New Roman"/>
                      <w:color w:val="000000" w:themeColor="text1"/>
                      <w:spacing w:val="0"/>
                      <w:sz w:val="21"/>
                      <w:szCs w:val="19"/>
                      <w:highlight w:val="none"/>
                      <w:lang w:eastAsia="zh-CN"/>
                      <w14:textFill>
                        <w14:solidFill>
                          <w14:schemeClr w14:val="tx1"/>
                        </w14:solidFill>
                      </w14:textFill>
                    </w:rPr>
                    <w:t>（</w:t>
                  </w:r>
                  <w:r>
                    <w:rPr>
                      <w:rFonts w:ascii="Times New Roman" w:hAnsi="Times New Roman" w:eastAsia="宋体"/>
                      <w:color w:val="000000" w:themeColor="text1"/>
                      <w:spacing w:val="0"/>
                      <w:sz w:val="21"/>
                      <w:szCs w:val="19"/>
                      <w:highlight w:val="none"/>
                      <w14:textFill>
                        <w14:solidFill>
                          <w14:schemeClr w14:val="tx1"/>
                        </w14:solidFill>
                      </w14:textFill>
                    </w:rPr>
                    <w:t>GB39726-2020</w:t>
                  </w:r>
                  <w:r>
                    <w:rPr>
                      <w:rFonts w:hint="eastAsia" w:ascii="Times New Roman" w:hAnsi="Times New Roman"/>
                      <w:color w:val="000000" w:themeColor="text1"/>
                      <w:spacing w:val="0"/>
                      <w:sz w:val="21"/>
                      <w:szCs w:val="19"/>
                      <w:highlight w:val="none"/>
                      <w:lang w:eastAsia="zh-CN"/>
                      <w14:textFill>
                        <w14:solidFill>
                          <w14:schemeClr w14:val="tx1"/>
                        </w14:solidFill>
                      </w14:textFill>
                    </w:rPr>
                    <w:t>）</w:t>
                  </w:r>
                  <w:r>
                    <w:rPr>
                      <w:rFonts w:ascii="Times New Roman" w:hAnsi="Times New Roman" w:eastAsia="宋体"/>
                      <w:color w:val="000000" w:themeColor="text1"/>
                      <w:spacing w:val="0"/>
                      <w:sz w:val="21"/>
                      <w:szCs w:val="19"/>
                      <w:highlight w:val="none"/>
                      <w14:textFill>
                        <w14:solidFill>
                          <w14:schemeClr w14:val="tx1"/>
                        </w14:solidFill>
                      </w14:textFill>
                    </w:rPr>
                    <w:t>表A.1厂区内VOCs无组织排放限值</w:t>
                  </w:r>
                  <w:r>
                    <w:rPr>
                      <w:rFonts w:hint="eastAsia" w:ascii="Times New Roman" w:hAnsi="Times New Roman" w:eastAsia="宋体"/>
                      <w:color w:val="000000" w:themeColor="text1"/>
                      <w:spacing w:val="0"/>
                      <w:sz w:val="21"/>
                      <w:szCs w:val="19"/>
                      <w:highlight w:val="none"/>
                      <w:lang w:val="en-US" w:eastAsia="zh-CN"/>
                      <w14:textFill>
                        <w14:solidFill>
                          <w14:schemeClr w14:val="tx1"/>
                        </w14:solidFill>
                      </w14:textFill>
                    </w:rPr>
                    <w:t>及</w:t>
                  </w:r>
                  <w:r>
                    <w:rPr>
                      <w:rFonts w:hint="eastAsia"/>
                      <w:color w:val="000000" w:themeColor="text1"/>
                      <w:spacing w:val="0"/>
                      <w:sz w:val="21"/>
                      <w:szCs w:val="19"/>
                      <w:highlight w:val="none"/>
                      <w:lang w:val="en-US" w:eastAsia="zh-CN"/>
                      <w14:textFill>
                        <w14:solidFill>
                          <w14:schemeClr w14:val="tx1"/>
                        </w14:solidFill>
                      </w14:textFill>
                    </w:rPr>
                    <w:t>广东省地方标准</w:t>
                  </w:r>
                  <w:r>
                    <w:rPr>
                      <w:rFonts w:hint="eastAsia" w:ascii="Times New Roman" w:hAnsi="Times New Roman" w:eastAsia="宋体"/>
                      <w:color w:val="000000" w:themeColor="text1"/>
                      <w:spacing w:val="0"/>
                      <w:sz w:val="21"/>
                      <w:szCs w:val="22"/>
                      <w:highlight w:val="none"/>
                      <w14:textFill>
                        <w14:solidFill>
                          <w14:schemeClr w14:val="tx1"/>
                        </w14:solidFill>
                      </w14:textFill>
                    </w:rPr>
                    <w:t>《固定污染源挥发性有机物综合排放标准》（DB44/2367-2022）表3厂区内VOCs无组织排放限值</w:t>
                  </w:r>
                  <w:r>
                    <w:rPr>
                      <w:rFonts w:hint="eastAsia"/>
                      <w:color w:val="000000" w:themeColor="text1"/>
                      <w:spacing w:val="0"/>
                      <w:sz w:val="21"/>
                      <w:szCs w:val="22"/>
                      <w:highlight w:val="none"/>
                      <w:lang w:val="en-US" w:eastAsia="zh-CN"/>
                      <w14:textFill>
                        <w14:solidFill>
                          <w14:schemeClr w14:val="tx1"/>
                        </w14:solidFill>
                      </w14:textFill>
                    </w:rPr>
                    <w:t>两</w:t>
                  </w:r>
                  <w:r>
                    <w:rPr>
                      <w:rFonts w:hint="eastAsia" w:ascii="Times New Roman" w:hAnsi="Times New Roman" w:eastAsia="宋体"/>
                      <w:color w:val="000000" w:themeColor="text1"/>
                      <w:spacing w:val="0"/>
                      <w:sz w:val="21"/>
                      <w:szCs w:val="22"/>
                      <w:highlight w:val="none"/>
                      <w:lang w:val="en-US" w:eastAsia="zh-CN"/>
                      <w14:textFill>
                        <w14:solidFill>
                          <w14:schemeClr w14:val="tx1"/>
                        </w14:solidFill>
                      </w14:textFill>
                    </w:rPr>
                    <w:t>者较严值</w:t>
                  </w:r>
                </w:p>
              </w:tc>
            </w:tr>
            <w:tr w14:paraId="34EF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dxa"/>
                  <w:vMerge w:val="continue"/>
                  <w:noWrap w:val="0"/>
                  <w:vAlign w:val="center"/>
                </w:tcPr>
                <w:p w14:paraId="34F59CD6">
                  <w:pPr>
                    <w:shd w:val="clear"/>
                    <w:spacing w:line="240" w:lineRule="auto"/>
                    <w:jc w:val="center"/>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p>
              </w:tc>
              <w:tc>
                <w:tcPr>
                  <w:tcW w:w="1363" w:type="dxa"/>
                  <w:noWrap w:val="0"/>
                  <w:vAlign w:val="center"/>
                </w:tcPr>
                <w:p w14:paraId="423784D0">
                  <w:pPr>
                    <w:widowControl/>
                    <w:shd w:val="clear"/>
                    <w:spacing w:line="240" w:lineRule="auto"/>
                    <w:jc w:val="center"/>
                    <w:rPr>
                      <w:rFonts w:hint="eastAsia" w:ascii="Times New Roman" w:hAnsi="Times New Roman" w:eastAsia="宋体" w:cs="Times New Roman"/>
                      <w:color w:val="000000" w:themeColor="text1"/>
                      <w:sz w:val="21"/>
                      <w:szCs w:val="21"/>
                      <w:highlight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bidi="ar"/>
                      <w14:textFill>
                        <w14:solidFill>
                          <w14:schemeClr w14:val="tx1"/>
                        </w14:solidFill>
                      </w14:textFill>
                    </w:rPr>
                    <w:t>颗粒物</w:t>
                  </w:r>
                </w:p>
              </w:tc>
              <w:tc>
                <w:tcPr>
                  <w:tcW w:w="1183" w:type="dxa"/>
                  <w:noWrap w:val="0"/>
                  <w:vAlign w:val="center"/>
                </w:tcPr>
                <w:p w14:paraId="171EF842">
                  <w:pPr>
                    <w:shd w:val="clear"/>
                    <w:spacing w:line="240" w:lineRule="auto"/>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1次/年</w:t>
                  </w:r>
                </w:p>
              </w:tc>
              <w:tc>
                <w:tcPr>
                  <w:tcW w:w="3776" w:type="dxa"/>
                  <w:noWrap w:val="0"/>
                  <w:vAlign w:val="center"/>
                </w:tcPr>
                <w:p w14:paraId="282CFA1F">
                  <w:pPr>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sz w:val="21"/>
                      <w:szCs w:val="19"/>
                      <w:highlight w:val="none"/>
                      <w14:textFill>
                        <w14:solidFill>
                          <w14:schemeClr w14:val="tx1"/>
                        </w14:solidFill>
                      </w14:textFill>
                    </w:rPr>
                    <w:t>《铸造工业大气污染物排放标准》</w:t>
                  </w:r>
                  <w:r>
                    <w:rPr>
                      <w:rFonts w:hint="eastAsia" w:ascii="Times New Roman" w:hAnsi="Times New Roman"/>
                      <w:color w:val="000000" w:themeColor="text1"/>
                      <w:spacing w:val="0"/>
                      <w:sz w:val="21"/>
                      <w:szCs w:val="19"/>
                      <w:highlight w:val="none"/>
                      <w:lang w:eastAsia="zh-CN"/>
                      <w14:textFill>
                        <w14:solidFill>
                          <w14:schemeClr w14:val="tx1"/>
                        </w14:solidFill>
                      </w14:textFill>
                    </w:rPr>
                    <w:t>（</w:t>
                  </w:r>
                  <w:r>
                    <w:rPr>
                      <w:rFonts w:ascii="Times New Roman" w:hAnsi="Times New Roman" w:eastAsia="宋体"/>
                      <w:color w:val="000000" w:themeColor="text1"/>
                      <w:spacing w:val="0"/>
                      <w:sz w:val="21"/>
                      <w:szCs w:val="19"/>
                      <w:highlight w:val="none"/>
                      <w14:textFill>
                        <w14:solidFill>
                          <w14:schemeClr w14:val="tx1"/>
                        </w14:solidFill>
                      </w14:textFill>
                    </w:rPr>
                    <w:t>GB39726-2020</w:t>
                  </w:r>
                  <w:r>
                    <w:rPr>
                      <w:rFonts w:hint="eastAsia" w:ascii="Times New Roman" w:hAnsi="Times New Roman"/>
                      <w:color w:val="000000" w:themeColor="text1"/>
                      <w:spacing w:val="0"/>
                      <w:sz w:val="21"/>
                      <w:szCs w:val="19"/>
                      <w:highlight w:val="none"/>
                      <w:lang w:eastAsia="zh-CN"/>
                      <w14:textFill>
                        <w14:solidFill>
                          <w14:schemeClr w14:val="tx1"/>
                        </w14:solidFill>
                      </w14:textFill>
                    </w:rPr>
                    <w:t>）</w:t>
                  </w:r>
                  <w:r>
                    <w:rPr>
                      <w:rFonts w:ascii="Times New Roman" w:hAnsi="Times New Roman" w:eastAsia="宋体"/>
                      <w:color w:val="000000" w:themeColor="text1"/>
                      <w:spacing w:val="0"/>
                      <w:sz w:val="21"/>
                      <w:szCs w:val="19"/>
                      <w:highlight w:val="none"/>
                      <w14:textFill>
                        <w14:solidFill>
                          <w14:schemeClr w14:val="tx1"/>
                        </w14:solidFill>
                      </w14:textFill>
                    </w:rPr>
                    <w:t>表A.1厂区内颗粒物无组织排放限值</w:t>
                  </w:r>
                </w:p>
              </w:tc>
            </w:tr>
          </w:tbl>
          <w:p w14:paraId="28448468">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firstLine="442" w:firstLineChars="200"/>
              <w:jc w:val="both"/>
              <w:textAlignment w:val="auto"/>
              <w:rPr>
                <w:rFonts w:hint="default" w:ascii="Times New Roman" w:hAnsi="Times New Roman" w:eastAsia="宋体" w:cs="Times New Roman"/>
                <w:b/>
                <w:bCs w:val="0"/>
                <w:color w:val="000000" w:themeColor="text1"/>
                <w:spacing w:val="-10"/>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spacing w:val="-10"/>
                <w:kern w:val="2"/>
                <w:sz w:val="24"/>
                <w:szCs w:val="24"/>
                <w:highlight w:val="none"/>
                <w:lang w:val="en-US" w:eastAsia="zh-CN" w:bidi="ar-SA"/>
                <w14:textFill>
                  <w14:solidFill>
                    <w14:schemeClr w14:val="tx1"/>
                  </w14:solidFill>
                </w14:textFill>
              </w:rPr>
              <w:t>大气环境影响分析：</w:t>
            </w:r>
          </w:p>
          <w:p w14:paraId="52354771">
            <w:pPr>
              <w:pStyle w:val="19"/>
              <w:keepNext w:val="0"/>
              <w:keepLines w:val="0"/>
              <w:pageBreakBefore w:val="0"/>
              <w:widowControl w:val="0"/>
              <w:shd w:val="clear"/>
              <w:kinsoku/>
              <w:wordWrap/>
              <w:overflowPunct/>
              <w:topLinePunct w:val="0"/>
              <w:autoSpaceDE/>
              <w:autoSpaceDN/>
              <w:bidi w:val="0"/>
              <w:adjustRightInd/>
              <w:snapToGrid w:val="0"/>
              <w:spacing w:before="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本项目位于环境空气二类功能区，SO</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、NO</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、PM</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10</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、PM</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2.5</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、CO、O</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3</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均达到</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《环境空气质量标准》（GB3095-20</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26</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）过渡阶段浓度限值中的二级标准。</w:t>
            </w:r>
            <w:r>
              <w:rPr>
                <w:rFonts w:hint="default" w:ascii="Times New Roman" w:hAnsi="Times New Roman" w:eastAsia="宋体" w:cs="Times New Roman"/>
                <w:color w:val="000000" w:themeColor="text1"/>
                <w:sz w:val="21"/>
                <w:szCs w:val="21"/>
                <w:highlight w:val="none"/>
                <w14:textFill>
                  <w14:solidFill>
                    <w14:schemeClr w14:val="tx1"/>
                  </w14:solidFill>
                </w14:textFill>
              </w:rPr>
              <w:t>项目所在区域</w:t>
            </w:r>
            <w:r>
              <w:rPr>
                <w:rFonts w:hint="eastAsia" w:cs="Times New Roman"/>
                <w:color w:val="000000" w:themeColor="text1"/>
                <w:sz w:val="21"/>
                <w:szCs w:val="21"/>
                <w:highlight w:val="none"/>
                <w:lang w:val="en-US" w:eastAsia="zh-CN"/>
                <w14:textFill>
                  <w14:solidFill>
                    <w14:schemeClr w14:val="tx1"/>
                  </w14:solidFill>
                </w14:textFill>
              </w:rPr>
              <w:t>为环境空气质量</w:t>
            </w:r>
            <w:r>
              <w:rPr>
                <w:rFonts w:hint="default" w:ascii="Times New Roman" w:hAnsi="Times New Roman" w:eastAsia="宋体" w:cs="Times New Roman"/>
                <w:color w:val="000000" w:themeColor="text1"/>
                <w:sz w:val="21"/>
                <w:szCs w:val="21"/>
                <w:highlight w:val="none"/>
                <w14:textFill>
                  <w14:solidFill>
                    <w14:schemeClr w14:val="tx1"/>
                  </w14:solidFill>
                </w14:textFill>
              </w:rPr>
              <w:t>达标区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项目烟囱设置在厂区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中</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部位置，</w:t>
            </w:r>
            <w:r>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G1排放口距离项目最近敏感点（京珠高速公路广珠段改扩建管理处）为</w:t>
            </w:r>
            <w:r>
              <w:rPr>
                <w:rFonts w:hint="eastAsia" w:ascii="Times New Roman" w:cs="Times New Roman"/>
                <w:color w:val="000000" w:themeColor="text1"/>
                <w:spacing w:val="7"/>
                <w:sz w:val="21"/>
                <w:szCs w:val="21"/>
                <w:highlight w:val="none"/>
                <w:lang w:val="en-US" w:eastAsia="zh-CN"/>
                <w14:textFill>
                  <w14:solidFill>
                    <w14:schemeClr w14:val="tx1"/>
                  </w14:solidFill>
                </w14:textFill>
              </w:rPr>
              <w:t>245</w:t>
            </w:r>
            <w:r>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项目500米范围内大气环境</w:t>
            </w:r>
            <w:r>
              <w:rPr>
                <w:rFonts w:hint="eastAsia" w:cs="Times New Roman"/>
                <w:color w:val="000000" w:themeColor="text1"/>
                <w:sz w:val="21"/>
                <w:szCs w:val="21"/>
                <w:highlight w:val="none"/>
                <w:lang w:val="en-US" w:eastAsia="zh-CN"/>
                <w14:textFill>
                  <w14:solidFill>
                    <w14:schemeClr w14:val="tx1"/>
                  </w14:solidFill>
                </w14:textFill>
              </w:rPr>
              <w:t>敏感点为京珠高速公路广珠段改扩建管理处。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项目产生</w:t>
            </w:r>
            <w:r>
              <w:rPr>
                <w:rFonts w:hint="eastAsia"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熔融、压铸、脱模废气集气罩收集、液化石油气燃烧废气经管道收集，收集后的废气经水喷淋装置处理后排气筒有组织排放；</w:t>
            </w:r>
            <w:r>
              <w:rPr>
                <w:rFonts w:hint="eastAsia" w:cs="Times New Roman"/>
                <w:color w:val="000000" w:themeColor="text1"/>
                <w:sz w:val="21"/>
                <w:szCs w:val="21"/>
                <w:highlight w:val="none"/>
                <w:lang w:val="en-US" w:eastAsia="zh-CN"/>
                <w14:textFill>
                  <w14:solidFill>
                    <w14:schemeClr w14:val="tx1"/>
                  </w14:solidFill>
                </w14:textFill>
              </w:rPr>
              <w:t>钻孔攻牙</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废气产生的非甲烷总烃和臭气浓度无组织排放；研磨废气产生的颗粒物无组织排放；抛光废气产生的颗粒物无组织排放</w:t>
            </w:r>
            <w:r>
              <w:rPr>
                <w:rFonts w:hint="eastAsia" w:cs="Times New Roman"/>
                <w:color w:val="000000" w:themeColor="text1"/>
                <w:sz w:val="21"/>
                <w:szCs w:val="21"/>
                <w:highlight w:val="none"/>
                <w:lang w:val="en-US" w:eastAsia="zh-CN"/>
                <w14:textFill>
                  <w14:solidFill>
                    <w14:schemeClr w14:val="tx1"/>
                  </w14:solidFill>
                </w14:textFill>
              </w:rPr>
              <w:t>；机加工废气产生的非甲烷总烃、臭气浓度和颗粒物无组织排放。</w:t>
            </w:r>
          </w:p>
          <w:p w14:paraId="0A2CA9D1">
            <w:pPr>
              <w:pStyle w:val="19"/>
              <w:keepNext w:val="0"/>
              <w:keepLines w:val="0"/>
              <w:pageBreakBefore w:val="0"/>
              <w:widowControl w:val="0"/>
              <w:shd w:val="clear"/>
              <w:kinsoku/>
              <w:wordWrap/>
              <w:overflowPunct/>
              <w:topLinePunct w:val="0"/>
              <w:autoSpaceDE/>
              <w:autoSpaceDN/>
              <w:bidi w:val="0"/>
              <w:adjustRightInd/>
              <w:snapToGrid w:val="0"/>
              <w:spacing w:before="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有组织废气中，</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TVOC达到广东地方标准《固定污染源挥发性有机物综合排放标准》（DB44/2367-2022）表1挥发性有机物排放限值；臭气浓度达到《恶臭污染物排放标准》（GB14554-93）表2恶臭污染物排放标准值；SO₂、NOx、颗粒物达到《铸造工业大气污染物排放标准》（GB39726-2020）表1大气污染物排放限值</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color w:val="000000" w:themeColor="text1"/>
                <w:spacing w:val="0"/>
                <w:sz w:val="21"/>
                <w:szCs w:val="21"/>
                <w:highlight w:val="none"/>
                <w:lang w:val="en-US" w:eastAsia="zh-CN"/>
                <w14:textFill>
                  <w14:solidFill>
                    <w14:schemeClr w14:val="tx1"/>
                  </w14:solidFill>
                </w14:textFill>
              </w:rPr>
              <w:t>林格曼黑度达到</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《工业炉窑大气污染物排放标准》（GB9078-1996）表2金属熔化炉二级标准</w:t>
            </w:r>
            <w:r>
              <w:rPr>
                <w:rFonts w:hint="eastAsia" w:cs="Times New Roman"/>
                <w:color w:val="000000" w:themeColor="text1"/>
                <w:sz w:val="21"/>
                <w:szCs w:val="21"/>
                <w:highlight w:val="none"/>
                <w:lang w:val="en-US" w:eastAsia="zh-CN"/>
                <w14:textFill>
                  <w14:solidFill>
                    <w14:schemeClr w14:val="tx1"/>
                  </w14:solidFill>
                </w14:textFill>
              </w:rPr>
              <w:t>。</w:t>
            </w:r>
          </w:p>
          <w:p w14:paraId="27246230">
            <w:pPr>
              <w:shd w:val="clear"/>
              <w:spacing w:line="360" w:lineRule="auto"/>
              <w:ind w:firstLine="420" w:firstLineChars="20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无组织废气中，非甲烷总烃</w:t>
            </w:r>
            <w:r>
              <w:rPr>
                <w:rFonts w:hint="eastAsia" w:cs="Times New Roman"/>
                <w:color w:val="000000" w:themeColor="text1"/>
                <w:sz w:val="21"/>
                <w:szCs w:val="21"/>
                <w:highlight w:val="none"/>
                <w:lang w:val="en-US" w:eastAsia="zh-CN"/>
                <w14:textFill>
                  <w14:solidFill>
                    <w14:schemeClr w14:val="tx1"/>
                  </w14:solidFill>
                </w14:textFill>
              </w:rPr>
              <w:t>、颗粒物、</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SO₂</w:t>
            </w:r>
            <w:r>
              <w:rPr>
                <w:rFonts w:hint="eastAsia"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NOx</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广东省地方标准《大气污染物排放限值》（DB44/27-2001）</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表2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第二时段无组织排放监控浓度限值</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；臭气浓度达到《恶臭污染物排放标准》（GB14554-93）表1恶臭污染物厂界标准值</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项目厂区非甲烷总烃浓度限值执行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《铸造工业大气污染物排放标准》（GB39726-2020）表A.1厂区内颗粒物、VOCs无组织排放限值及广东省地方标准《固定污染源挥发性有机物综合排放标准》（DB44/2367-2022）表3厂区内VOCs无组织排放限值两者较严值</w:t>
            </w:r>
            <w:r>
              <w:rPr>
                <w:rFonts w:hint="eastAsia" w:cs="Times New Roman"/>
                <w:color w:val="000000" w:themeColor="text1"/>
                <w:highlight w:val="none"/>
                <w:lang w:val="en-US" w:eastAsia="zh-CN"/>
                <w14:textFill>
                  <w14:solidFill>
                    <w14:schemeClr w14:val="tx1"/>
                  </w14:solidFill>
                </w14:textFill>
              </w:rPr>
              <w:t>；颗粒物达到</w:t>
            </w:r>
            <w:r>
              <w:rPr>
                <w:rFonts w:ascii="Times New Roman" w:hAnsi="Times New Roman" w:eastAsia="宋体"/>
                <w:color w:val="000000" w:themeColor="text1"/>
                <w:spacing w:val="0"/>
                <w:sz w:val="21"/>
                <w:szCs w:val="21"/>
                <w:highlight w:val="none"/>
                <w14:textFill>
                  <w14:solidFill>
                    <w14:schemeClr w14:val="tx1"/>
                  </w14:solidFill>
                </w14:textFill>
              </w:rPr>
              <w:t>《铸造工业大气污染物排放标准》</w:t>
            </w:r>
            <w:r>
              <w:rPr>
                <w:rFonts w:hint="eastAsia" w:ascii="Times New Roman" w:hAnsi="Times New Roman"/>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GB39726-2020</w:t>
            </w:r>
            <w:r>
              <w:rPr>
                <w:rFonts w:hint="eastAsia" w:ascii="Times New Roman" w:hAnsi="Times New Roman"/>
                <w:color w:val="000000" w:themeColor="text1"/>
                <w:spacing w:val="0"/>
                <w:sz w:val="21"/>
                <w:szCs w:val="21"/>
                <w:highlight w:val="none"/>
                <w:lang w:eastAsia="zh-CN"/>
                <w14:textFill>
                  <w14:solidFill>
                    <w14:schemeClr w14:val="tx1"/>
                  </w14:solidFill>
                </w14:textFill>
              </w:rPr>
              <w:t>）</w:t>
            </w:r>
            <w:r>
              <w:rPr>
                <w:rFonts w:ascii="Times New Roman" w:hAnsi="Times New Roman" w:eastAsia="宋体"/>
                <w:color w:val="000000" w:themeColor="text1"/>
                <w:spacing w:val="0"/>
                <w:sz w:val="21"/>
                <w:szCs w:val="21"/>
                <w:highlight w:val="none"/>
                <w14:textFill>
                  <w14:solidFill>
                    <w14:schemeClr w14:val="tx1"/>
                  </w14:solidFill>
                </w14:textFill>
              </w:rPr>
              <w:t>表A.1厂区内颗粒物、VOCs无组织排放限值</w:t>
            </w:r>
            <w:r>
              <w:rPr>
                <w:rFonts w:hint="eastAsia" w:ascii="Times New Roman" w:hAnsi="Times New Roman" w:eastAsia="宋体"/>
                <w:color w:val="000000" w:themeColor="text1"/>
                <w:spacing w:val="0"/>
                <w:sz w:val="21"/>
                <w:szCs w:val="21"/>
                <w:highlight w:val="none"/>
                <w:lang w:eastAsia="zh-CN"/>
                <w14:textFill>
                  <w14:solidFill>
                    <w14:schemeClr w14:val="tx1"/>
                  </w14:solidFill>
                </w14:textFill>
              </w:rPr>
              <w:t>。</w:t>
            </w:r>
          </w:p>
          <w:p w14:paraId="1677550C">
            <w:pPr>
              <w:shd w:val="clear"/>
              <w:spacing w:line="360" w:lineRule="auto"/>
              <w:ind w:firstLine="420" w:firstLineChars="200"/>
              <w:jc w:val="both"/>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综上，项目排放废气不会对周围敏感点造成影响。</w:t>
            </w:r>
          </w:p>
          <w:p w14:paraId="2BBDE38B">
            <w:pPr>
              <w:numPr>
                <w:ilvl w:val="0"/>
                <w:numId w:val="0"/>
              </w:numPr>
              <w:shd w:val="clear"/>
              <w:spacing w:line="360" w:lineRule="auto"/>
              <w:ind w:firstLine="442" w:firstLineChars="200"/>
              <w:jc w:val="both"/>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kern w:val="2"/>
                <w:sz w:val="24"/>
                <w:szCs w:val="24"/>
                <w:highlight w:val="none"/>
                <w:lang w:val="en-US" w:eastAsia="zh-CN" w:bidi="ar-SA"/>
                <w14:textFill>
                  <w14:solidFill>
                    <w14:schemeClr w14:val="tx1"/>
                  </w14:solidFill>
                </w14:textFill>
              </w:rPr>
              <w:t>二、</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水环境影响分析</w:t>
            </w:r>
          </w:p>
          <w:p w14:paraId="49392A7B">
            <w:pPr>
              <w:pStyle w:val="48"/>
              <w:spacing w:line="360" w:lineRule="auto"/>
              <w:ind w:firstLine="422" w:firstLineChars="20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t>（1）废水产排情况</w:t>
            </w:r>
            <w:r>
              <w:rPr>
                <w:rFonts w:hint="eastAsia" w:cs="Times New Roman"/>
                <w:b/>
                <w:bCs w:val="0"/>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项目产生废水主要为生活污水、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水喷淋废水、抛光废水</w:t>
            </w:r>
            <w:r>
              <w:rPr>
                <w:rFonts w:hint="eastAsia" w:ascii="Times New Roman" w:cs="Times New Roman"/>
                <w:color w:val="000000" w:themeColor="text1"/>
                <w:sz w:val="21"/>
                <w:szCs w:val="21"/>
                <w:highlight w:val="none"/>
                <w:lang w:val="en-US" w:eastAsia="zh-CN"/>
                <w14:textFill>
                  <w14:solidFill>
                    <w14:schemeClr w14:val="tx1"/>
                  </w14:solidFill>
                </w14:textFill>
              </w:rPr>
              <w:t>、研磨废水</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14:paraId="2137E7F5">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380" w:firstLineChars="200"/>
              <w:jc w:val="both"/>
              <w:textAlignment w:val="auto"/>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①生活用水：生活用水量约为</w:t>
            </w:r>
            <w:r>
              <w:rPr>
                <w:rFonts w:hint="eastAsia" w:cs="Times New Roman"/>
                <w:b w:val="0"/>
                <w:bCs/>
                <w:color w:val="000000" w:themeColor="text1"/>
                <w:spacing w:val="-10"/>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00吨/年，生活污水产生率按90%计，污水排放量约为</w:t>
            </w:r>
            <w:r>
              <w:rPr>
                <w:rFonts w:hint="eastAsia" w:cs="Times New Roman"/>
                <w:b w:val="0"/>
                <w:bCs/>
                <w:color w:val="000000" w:themeColor="text1"/>
                <w:spacing w:val="-10"/>
                <w:sz w:val="21"/>
                <w:szCs w:val="21"/>
                <w:highlight w:val="none"/>
                <w:lang w:val="en-US" w:eastAsia="zh-CN"/>
                <w14:textFill>
                  <w14:solidFill>
                    <w14:schemeClr w14:val="tx1"/>
                  </w14:solidFill>
                </w14:textFill>
              </w:rPr>
              <w:t>0.6</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吨/日（</w:t>
            </w:r>
            <w:r>
              <w:rPr>
                <w:rFonts w:hint="eastAsia" w:cs="Times New Roman"/>
                <w:b w:val="0"/>
                <w:bCs/>
                <w:color w:val="000000" w:themeColor="text1"/>
                <w:spacing w:val="-10"/>
                <w:sz w:val="21"/>
                <w:szCs w:val="21"/>
                <w:highlight w:val="none"/>
                <w:lang w:val="en-US" w:eastAsia="zh-CN"/>
                <w14:textFill>
                  <w14:solidFill>
                    <w14:schemeClr w14:val="tx1"/>
                  </w14:solidFill>
                </w14:textFill>
              </w:rPr>
              <w:t>180</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吨/年），此类污水中的主要污染物有CODcr（产生浓度300mg/L）、BOD</w:t>
            </w:r>
            <w:r>
              <w:rPr>
                <w:rFonts w:hint="default" w:ascii="Times New Roman" w:hAnsi="Times New Roman" w:eastAsia="宋体" w:cs="Times New Roman"/>
                <w:b w:val="0"/>
                <w:bCs/>
                <w:color w:val="000000" w:themeColor="text1"/>
                <w:spacing w:val="-1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（产生浓度250mg/L）、SS（产生浓度300mg/L）、NH</w:t>
            </w:r>
            <w:r>
              <w:rPr>
                <w:rFonts w:hint="default" w:ascii="Times New Roman" w:hAnsi="Times New Roman" w:eastAsia="宋体" w:cs="Times New Roman"/>
                <w:b w:val="0"/>
                <w:bCs/>
                <w:color w:val="000000" w:themeColor="text1"/>
                <w:spacing w:val="-10"/>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-N（产生浓度40mg/L）</w:t>
            </w:r>
            <w:r>
              <w:rPr>
                <w:rFonts w:hint="eastAsia" w:cs="Times New Roman"/>
                <w:b w:val="0"/>
                <w:bCs/>
                <w:color w:val="000000" w:themeColor="text1"/>
                <w:spacing w:val="-10"/>
                <w:sz w:val="21"/>
                <w:szCs w:val="21"/>
                <w:highlight w:val="none"/>
                <w:lang w:val="en-US" w:eastAsia="zh-CN"/>
                <w14:textFill>
                  <w14:solidFill>
                    <w14:schemeClr w14:val="tx1"/>
                  </w14:solidFill>
                </w14:textFill>
              </w:rPr>
              <w:t>、TP(产生浓度为4</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mg/L</w:t>
            </w:r>
            <w:r>
              <w:rPr>
                <w:rFonts w:hint="eastAsia" w:cs="Times New Roman"/>
                <w:b w:val="0"/>
                <w:bCs/>
                <w:color w:val="000000" w:themeColor="text1"/>
                <w:spacing w:val="-1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等。生活污水经三级化粪处理后，经市政管道进入</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中山市南朗镇水务有限公司</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处理达标后，排入</w:t>
            </w:r>
            <w:r>
              <w:rPr>
                <w:rFonts w:hint="default" w:ascii="Times New Roman" w:hAnsi="Times New Roman" w:eastAsia="宋体" w:cs="Times New Roman"/>
                <w:snapToGrid w:val="0"/>
                <w:color w:val="000000" w:themeColor="text1"/>
                <w:sz w:val="21"/>
                <w:szCs w:val="21"/>
                <w:highlight w:val="none"/>
                <w:lang w:val="en-US" w:eastAsia="zh-CN"/>
                <w14:textFill>
                  <w14:solidFill>
                    <w14:schemeClr w14:val="tx1"/>
                  </w14:solidFill>
                </w14:textFill>
              </w:rPr>
              <w:t>涌口门上涌</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w:t>
            </w:r>
          </w:p>
          <w:p w14:paraId="03C4862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firstLine="380" w:firstLineChars="200"/>
              <w:jc w:val="both"/>
              <w:textAlignment w:val="auto"/>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②水喷淋废水、抛光废水主要污染物因子为pH、CODcr、BOD</w:t>
            </w:r>
            <w:r>
              <w:rPr>
                <w:rFonts w:hint="default" w:ascii="Times New Roman" w:hAnsi="Times New Roman" w:eastAsia="宋体" w:cs="Times New Roman"/>
                <w:b w:val="0"/>
                <w:bCs/>
                <w:color w:val="000000" w:themeColor="text1"/>
                <w:spacing w:val="-1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、SS、石油类、氨氮、色度</w:t>
            </w:r>
            <w:r>
              <w:rPr>
                <w:rFonts w:hint="eastAsia"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w:t>
            </w:r>
            <w:r>
              <w:rPr>
                <w:rFonts w:hint="eastAsia" w:cs="Times New Roman"/>
                <w:b w:val="0"/>
                <w:bCs/>
                <w:color w:val="000000" w:themeColor="text1"/>
                <w:spacing w:val="-10"/>
                <w:sz w:val="21"/>
                <w:szCs w:val="21"/>
                <w:highlight w:val="none"/>
                <w:lang w:val="en-US" w:eastAsia="zh-CN"/>
                <w14:textFill>
                  <w14:solidFill>
                    <w14:schemeClr w14:val="tx1"/>
                  </w14:solidFill>
                </w14:textFill>
              </w:rPr>
              <w:t>研磨废水</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主要污染物因子为pH、CODcr、BOD</w:t>
            </w:r>
            <w:r>
              <w:rPr>
                <w:rFonts w:hint="default" w:ascii="Times New Roman" w:hAnsi="Times New Roman" w:eastAsia="宋体" w:cs="Times New Roman"/>
                <w:b w:val="0"/>
                <w:bCs/>
                <w:color w:val="000000" w:themeColor="text1"/>
                <w:spacing w:val="-1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、SS、石油类、氨氮、色度</w:t>
            </w:r>
            <w:r>
              <w:rPr>
                <w:rFonts w:hint="eastAsia"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、LAS。</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水喷淋废水、抛光废水</w:t>
            </w:r>
            <w:r>
              <w:rPr>
                <w:rFonts w:hint="eastAsia"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w:t>
            </w:r>
            <w:r>
              <w:rPr>
                <w:rFonts w:hint="eastAsia" w:cs="Times New Roman"/>
                <w:b w:val="0"/>
                <w:bCs/>
                <w:color w:val="000000" w:themeColor="text1"/>
                <w:spacing w:val="-10"/>
                <w:sz w:val="21"/>
                <w:szCs w:val="21"/>
                <w:highlight w:val="none"/>
                <w:lang w:val="en-US" w:eastAsia="zh-CN"/>
                <w14:textFill>
                  <w14:solidFill>
                    <w14:schemeClr w14:val="tx1"/>
                  </w14:solidFill>
                </w14:textFill>
              </w:rPr>
              <w:t>研磨废水污染因子</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pH、CODcr、BOD</w:t>
            </w:r>
            <w:r>
              <w:rPr>
                <w:rFonts w:hint="default" w:ascii="Times New Roman" w:hAnsi="Times New Roman" w:eastAsia="宋体" w:cs="Times New Roman"/>
                <w:b w:val="0"/>
                <w:bCs/>
                <w:color w:val="000000" w:themeColor="text1"/>
                <w:spacing w:val="-1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、SS、石油类、氨氮、色度引用中山市三工金属制品有限公司《中山市三工金属制品有限公司环境质量现状监测报告》（</w:t>
            </w:r>
            <w:r>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t>ZCJC-250225-C11-Z，</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详见附册）</w:t>
            </w:r>
            <w:r>
              <w:rPr>
                <w:rFonts w:hint="eastAsia" w:ascii="宋体" w:hAnsi="宋体" w:eastAsia="宋体" w:cs="宋体"/>
                <w:b w:val="0"/>
                <w:bCs/>
                <w:color w:val="000000" w:themeColor="text1"/>
                <w:spacing w:val="-10"/>
                <w:sz w:val="21"/>
                <w:szCs w:val="21"/>
                <w:highlight w:val="none"/>
                <w:lang w:val="en-US" w:eastAsia="zh-CN"/>
                <w14:textFill>
                  <w14:solidFill>
                    <w14:schemeClr w14:val="tx1"/>
                  </w14:solidFill>
                </w14:textFill>
              </w:rPr>
              <w:t>。研磨废水的</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LAS参考《废水处理工程技术手册》（潘涛、田刚主编，化学工业出版社，2010年7月）第3篇第3章“洗涤剂工业废水处理”工程案例中，LAS生产废水处理工程的进水浓度为180mg/L，本项目</w:t>
            </w:r>
            <w:r>
              <w:rPr>
                <w:rFonts w:hint="eastAsia"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LAS来源于研磨工序使用的洗洁精，</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废水性质与</w:t>
            </w:r>
            <w:r>
              <w:rPr>
                <w:rFonts w:hint="eastAsia"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文献废水相似</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，因此LAS产生浓度</w:t>
            </w:r>
            <w:r>
              <w:rPr>
                <w:rFonts w:hint="eastAsia" w:cs="Times New Roman"/>
                <w:b w:val="0"/>
                <w:bCs/>
                <w:color w:val="000000" w:themeColor="text1"/>
                <w:spacing w:val="-10"/>
                <w:sz w:val="21"/>
                <w:szCs w:val="21"/>
                <w:highlight w:val="none"/>
                <w:lang w:val="en-US" w:eastAsia="zh-CN"/>
                <w14:textFill>
                  <w14:solidFill>
                    <w14:schemeClr w14:val="tx1"/>
                  </w14:solidFill>
                </w14:textFill>
              </w:rPr>
              <w:t>保守</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取200mg/L。</w:t>
            </w:r>
          </w:p>
          <w:p w14:paraId="7AA737F1">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firstLine="442" w:firstLineChars="200"/>
              <w:jc w:val="center"/>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eastAsia" w:cs="Times New Roman"/>
                <w:b/>
                <w:bCs w:val="0"/>
                <w:color w:val="000000" w:themeColor="text1"/>
                <w:spacing w:val="-10"/>
                <w:sz w:val="24"/>
                <w:szCs w:val="24"/>
                <w:highlight w:val="none"/>
                <w:lang w:val="en-US" w:eastAsia="zh-CN"/>
                <w14:textFill>
                  <w14:solidFill>
                    <w14:schemeClr w14:val="tx1"/>
                  </w14:solidFill>
                </w14:textFill>
              </w:rPr>
              <w:t>表30生产废水污染物类比分析</w:t>
            </w:r>
          </w:p>
          <w:tbl>
            <w:tblPr>
              <w:tblStyle w:val="34"/>
              <w:tblW w:w="7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0"/>
              <w:gridCol w:w="2251"/>
              <w:gridCol w:w="2483"/>
              <w:gridCol w:w="1175"/>
            </w:tblGrid>
            <w:tr w14:paraId="7220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noWrap w:val="0"/>
                  <w:vAlign w:val="center"/>
                </w:tcPr>
                <w:p w14:paraId="24B8D18F">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类型</w:t>
                  </w:r>
                </w:p>
              </w:tc>
              <w:tc>
                <w:tcPr>
                  <w:tcW w:w="2251" w:type="dxa"/>
                  <w:noWrap w:val="0"/>
                  <w:vAlign w:val="center"/>
                </w:tcPr>
                <w:p w14:paraId="706BD7A8">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中山市三工金属制品有限公司</w:t>
                  </w:r>
                </w:p>
              </w:tc>
              <w:tc>
                <w:tcPr>
                  <w:tcW w:w="2483" w:type="dxa"/>
                  <w:noWrap w:val="0"/>
                  <w:vAlign w:val="center"/>
                </w:tcPr>
                <w:p w14:paraId="47998DB8">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本项目</w:t>
                  </w:r>
                </w:p>
              </w:tc>
              <w:tc>
                <w:tcPr>
                  <w:tcW w:w="1175" w:type="dxa"/>
                  <w:noWrap w:val="0"/>
                  <w:vAlign w:val="center"/>
                </w:tcPr>
                <w:p w14:paraId="61E5E6F5">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结论</w:t>
                  </w:r>
                </w:p>
              </w:tc>
            </w:tr>
            <w:tr w14:paraId="6885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noWrap w:val="0"/>
                  <w:vAlign w:val="center"/>
                </w:tcPr>
                <w:p w14:paraId="245892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highlight w:val="none"/>
                      <w:vertAlign w:val="baseline"/>
                      <w:lang w:val="en-US" w:eastAsia="zh-CN"/>
                      <w14:textFill>
                        <w14:solidFill>
                          <w14:schemeClr w14:val="tx1"/>
                        </w14:solidFill>
                      </w14:textFill>
                    </w:rPr>
                    <w:t>原辅材料</w:t>
                  </w:r>
                </w:p>
              </w:tc>
              <w:tc>
                <w:tcPr>
                  <w:tcW w:w="2251" w:type="dxa"/>
                  <w:noWrap w:val="0"/>
                  <w:vAlign w:val="center"/>
                </w:tcPr>
                <w:p w14:paraId="6B39AF2B">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highlight w:val="none"/>
                      <w:vertAlign w:val="baseline"/>
                      <w:lang w:val="en-US" w:eastAsia="zh-CN"/>
                      <w14:textFill>
                        <w14:solidFill>
                          <w14:schemeClr w14:val="tx1"/>
                        </w14:solidFill>
                      </w14:textFill>
                    </w:rPr>
                    <w:t>锌锭、切削液、脱模剂、</w:t>
                  </w:r>
                  <w:r>
                    <w:rPr>
                      <w:rFonts w:hint="eastAsia"/>
                      <w:color w:val="000000" w:themeColor="text1"/>
                      <w:spacing w:val="0"/>
                      <w:sz w:val="21"/>
                      <w:highlight w:val="none"/>
                      <w:vertAlign w:val="baseline"/>
                      <w:lang w:val="en-US" w:eastAsia="zh-CN"/>
                      <w14:textFill>
                        <w14:solidFill>
                          <w14:schemeClr w14:val="tx1"/>
                        </w14:solidFill>
                      </w14:textFill>
                    </w:rPr>
                    <w:t>塑胶石、</w:t>
                  </w:r>
                  <w:r>
                    <w:rPr>
                      <w:rFonts w:hint="eastAsia" w:ascii="Times New Roman" w:hAnsi="Times New Roman" w:eastAsia="宋体"/>
                      <w:color w:val="000000" w:themeColor="text1"/>
                      <w:spacing w:val="0"/>
                      <w:sz w:val="21"/>
                      <w:highlight w:val="none"/>
                      <w:vertAlign w:val="baseline"/>
                      <w:lang w:val="en-US" w:eastAsia="zh-CN"/>
                      <w14:textFill>
                        <w14:solidFill>
                          <w14:schemeClr w14:val="tx1"/>
                        </w14:solidFill>
                      </w14:textFill>
                    </w:rPr>
                    <w:t>机油等</w:t>
                  </w:r>
                </w:p>
              </w:tc>
              <w:tc>
                <w:tcPr>
                  <w:tcW w:w="2483" w:type="dxa"/>
                  <w:noWrap w:val="0"/>
                  <w:vAlign w:val="center"/>
                </w:tcPr>
                <w:p w14:paraId="1B611B75">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铝锭、锌锭、</w:t>
                  </w:r>
                  <w:r>
                    <w:rPr>
                      <w:rFonts w:hint="eastAsia" w:cs="Times New Roman"/>
                      <w:color w:val="000000" w:themeColor="text1"/>
                      <w:sz w:val="21"/>
                      <w:szCs w:val="21"/>
                      <w:highlight w:val="none"/>
                      <w:vertAlign w:val="baseline"/>
                      <w:lang w:val="en-US" w:eastAsia="zh-CN"/>
                      <w14:textFill>
                        <w14:solidFill>
                          <w14:schemeClr w14:val="tx1"/>
                        </w14:solidFill>
                      </w14:textFill>
                    </w:rPr>
                    <w:t>切削液、</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脱模剂、</w:t>
                  </w:r>
                  <w:r>
                    <w:rPr>
                      <w:rFonts w:hint="eastAsia" w:cs="Times New Roman"/>
                      <w:color w:val="000000" w:themeColor="text1"/>
                      <w:sz w:val="21"/>
                      <w:szCs w:val="21"/>
                      <w:highlight w:val="none"/>
                      <w:vertAlign w:val="baseline"/>
                      <w:lang w:val="en-US" w:eastAsia="zh-CN"/>
                      <w14:textFill>
                        <w14:solidFill>
                          <w14:schemeClr w14:val="tx1"/>
                        </w14:solidFill>
                      </w14:textFill>
                    </w:rPr>
                    <w:t>陶瓷、机</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油等</w:t>
                  </w:r>
                </w:p>
              </w:tc>
              <w:tc>
                <w:tcPr>
                  <w:tcW w:w="1175" w:type="dxa"/>
                  <w:noWrap w:val="0"/>
                  <w:vAlign w:val="center"/>
                </w:tcPr>
                <w:p w14:paraId="6443C62A">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相似</w:t>
                  </w:r>
                </w:p>
              </w:tc>
            </w:tr>
            <w:tr w14:paraId="13B2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noWrap w:val="0"/>
                  <w:vAlign w:val="center"/>
                </w:tcPr>
                <w:p w14:paraId="38999E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olor w:val="000000" w:themeColor="text1"/>
                      <w:spacing w:val="0"/>
                      <w:sz w:val="21"/>
                      <w:highlight w:val="none"/>
                      <w:vertAlign w:val="baseline"/>
                      <w:lang w:val="en-US" w:eastAsia="zh-CN"/>
                      <w14:textFill>
                        <w14:solidFill>
                          <w14:schemeClr w14:val="tx1"/>
                        </w14:solidFill>
                      </w14:textFill>
                    </w:rPr>
                  </w:pPr>
                  <w:r>
                    <w:rPr>
                      <w:rFonts w:hint="eastAsia"/>
                      <w:color w:val="000000" w:themeColor="text1"/>
                      <w:spacing w:val="0"/>
                      <w:sz w:val="21"/>
                      <w:highlight w:val="none"/>
                      <w:vertAlign w:val="baseline"/>
                      <w:lang w:val="en-US" w:eastAsia="zh-CN"/>
                      <w14:textFill>
                        <w14:solidFill>
                          <w14:schemeClr w14:val="tx1"/>
                        </w14:solidFill>
                      </w14:textFill>
                    </w:rPr>
                    <w:t>污染物种类</w:t>
                  </w:r>
                </w:p>
              </w:tc>
              <w:tc>
                <w:tcPr>
                  <w:tcW w:w="2251" w:type="dxa"/>
                  <w:noWrap w:val="0"/>
                  <w:vAlign w:val="center"/>
                </w:tcPr>
                <w:p w14:paraId="5CC98E99">
                  <w:pPr>
                    <w:keepNext w:val="0"/>
                    <w:keepLines w:val="0"/>
                    <w:pageBreakBefore w:val="0"/>
                    <w:widowControl w:val="0"/>
                    <w:kinsoku/>
                    <w:wordWrap/>
                    <w:overflowPunct w:val="0"/>
                    <w:topLinePunct w:val="0"/>
                    <w:autoSpaceDE/>
                    <w:autoSpaceDN/>
                    <w:bidi w:val="0"/>
                    <w:adjustRightInd/>
                    <w:snapToGrid/>
                    <w:jc w:val="center"/>
                    <w:textAlignment w:val="auto"/>
                    <w:rPr>
                      <w:rFonts w:hint="eastAsia" w:ascii="Times New Roman" w:hAnsi="Times New Roman" w:eastAsia="宋体"/>
                      <w:color w:val="000000" w:themeColor="text1"/>
                      <w:spacing w:val="0"/>
                      <w:sz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pH、CODcr、BOD</w:t>
                  </w:r>
                  <w:r>
                    <w:rPr>
                      <w:rFonts w:hint="default" w:ascii="Times New Roman" w:hAnsi="Times New Roman" w:eastAsia="宋体" w:cs="Times New Roman"/>
                      <w:b w:val="0"/>
                      <w:bCs/>
                      <w:color w:val="000000" w:themeColor="text1"/>
                      <w:spacing w:val="-1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、SS、石油类、氨氮、色度</w:t>
                  </w:r>
                </w:p>
              </w:tc>
              <w:tc>
                <w:tcPr>
                  <w:tcW w:w="2483" w:type="dxa"/>
                  <w:noWrap w:val="0"/>
                  <w:vAlign w:val="center"/>
                </w:tcPr>
                <w:p w14:paraId="0D237366">
                  <w:pPr>
                    <w:keepNext w:val="0"/>
                    <w:keepLines w:val="0"/>
                    <w:pageBreakBefore w:val="0"/>
                    <w:widowControl w:val="0"/>
                    <w:kinsoku/>
                    <w:wordWrap/>
                    <w:overflowPunct w:val="0"/>
                    <w:topLinePunct w:val="0"/>
                    <w:autoSpaceDE/>
                    <w:autoSpaceDN/>
                    <w:bidi w:val="0"/>
                    <w:adjustRightInd/>
                    <w:snapToGrid/>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pH、CODcr、BOD</w:t>
                  </w:r>
                  <w:r>
                    <w:rPr>
                      <w:rFonts w:hint="default" w:ascii="Times New Roman" w:hAnsi="Times New Roman" w:eastAsia="宋体" w:cs="Times New Roman"/>
                      <w:b w:val="0"/>
                      <w:bCs/>
                      <w:color w:val="000000" w:themeColor="text1"/>
                      <w:spacing w:val="-1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、SS、石油类、氨氮、色度</w:t>
                  </w:r>
                </w:p>
              </w:tc>
              <w:tc>
                <w:tcPr>
                  <w:tcW w:w="1175" w:type="dxa"/>
                  <w:noWrap w:val="0"/>
                  <w:vAlign w:val="center"/>
                </w:tcPr>
                <w:p w14:paraId="602D9C50">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相似</w:t>
                  </w:r>
                </w:p>
              </w:tc>
            </w:tr>
            <w:tr w14:paraId="10C8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noWrap w:val="0"/>
                  <w:vAlign w:val="center"/>
                </w:tcPr>
                <w:p w14:paraId="532F8F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olor w:val="000000" w:themeColor="text1"/>
                      <w:spacing w:val="0"/>
                      <w:sz w:val="21"/>
                      <w:highlight w:val="none"/>
                      <w:vertAlign w:val="baseline"/>
                      <w:lang w:val="en-US" w:eastAsia="zh-CN"/>
                      <w14:textFill>
                        <w14:solidFill>
                          <w14:schemeClr w14:val="tx1"/>
                        </w14:solidFill>
                      </w14:textFill>
                    </w:rPr>
                  </w:pPr>
                  <w:r>
                    <w:rPr>
                      <w:rFonts w:hint="eastAsia"/>
                      <w:color w:val="000000" w:themeColor="text1"/>
                      <w:spacing w:val="0"/>
                      <w:sz w:val="21"/>
                      <w:highlight w:val="none"/>
                      <w:vertAlign w:val="baseline"/>
                      <w:lang w:val="en-US" w:eastAsia="zh-CN"/>
                      <w14:textFill>
                        <w14:solidFill>
                          <w14:schemeClr w14:val="tx1"/>
                        </w14:solidFill>
                      </w14:textFill>
                    </w:rPr>
                    <w:t>产品产量</w:t>
                  </w:r>
                </w:p>
              </w:tc>
              <w:tc>
                <w:tcPr>
                  <w:tcW w:w="2251" w:type="dxa"/>
                  <w:noWrap w:val="0"/>
                  <w:vAlign w:val="center"/>
                </w:tcPr>
                <w:p w14:paraId="5C8C6E5D">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olor w:val="000000" w:themeColor="text1"/>
                      <w:spacing w:val="0"/>
                      <w:sz w:val="21"/>
                      <w:highlight w:val="none"/>
                      <w:vertAlign w:val="baseline"/>
                      <w:lang w:val="en-US" w:eastAsia="zh-CN"/>
                      <w14:textFill>
                        <w14:solidFill>
                          <w14:schemeClr w14:val="tx1"/>
                        </w14:solidFill>
                      </w14:textFill>
                    </w:rPr>
                  </w:pPr>
                  <w:r>
                    <w:rPr>
                      <w:rFonts w:hint="eastAsia"/>
                      <w:color w:val="000000" w:themeColor="text1"/>
                      <w:spacing w:val="0"/>
                      <w:sz w:val="21"/>
                      <w:highlight w:val="none"/>
                      <w:vertAlign w:val="baseline"/>
                      <w:lang w:val="en-US" w:eastAsia="zh-CN"/>
                      <w14:textFill>
                        <w14:solidFill>
                          <w14:schemeClr w14:val="tx1"/>
                        </w14:solidFill>
                      </w14:textFill>
                    </w:rPr>
                    <w:t>年产智能门锁（压铸件）100万件</w:t>
                  </w:r>
                </w:p>
              </w:tc>
              <w:tc>
                <w:tcPr>
                  <w:tcW w:w="2483" w:type="dxa"/>
                  <w:noWrap w:val="0"/>
                  <w:vAlign w:val="center"/>
                </w:tcPr>
                <w:p w14:paraId="4754C83E">
                  <w:pPr>
                    <w:keepNext w:val="0"/>
                    <w:keepLines w:val="0"/>
                    <w:pageBreakBefore w:val="0"/>
                    <w:widowControl w:val="0"/>
                    <w:kinsoku/>
                    <w:wordWrap/>
                    <w:overflowPunct w:val="0"/>
                    <w:topLinePunct w:val="0"/>
                    <w:autoSpaceDE/>
                    <w:autoSpaceDN/>
                    <w:bidi w:val="0"/>
                    <w:adjustRightInd/>
                    <w:snapToGrid/>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年产铝合金</w:t>
                  </w:r>
                  <w:r>
                    <w:rPr>
                      <w:rFonts w:hint="eastAsia" w:ascii="Times New Roman" w:cs="Times New Roman"/>
                      <w:b w:val="0"/>
                      <w:bCs w:val="0"/>
                      <w:color w:val="000000" w:themeColor="text1"/>
                      <w:sz w:val="21"/>
                      <w:szCs w:val="21"/>
                      <w:lang w:val="en-US" w:eastAsia="zh-CN"/>
                      <w14:textFill>
                        <w14:solidFill>
                          <w14:schemeClr w14:val="tx1"/>
                        </w14:solidFill>
                      </w14:textFill>
                    </w:rPr>
                    <w:t>压铸件</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240吨/年、锌合金</w:t>
                  </w:r>
                  <w:r>
                    <w:rPr>
                      <w:rFonts w:hint="eastAsia" w:ascii="Times New Roman" w:cs="Times New Roman"/>
                      <w:b w:val="0"/>
                      <w:bCs w:val="0"/>
                      <w:color w:val="000000" w:themeColor="text1"/>
                      <w:sz w:val="21"/>
                      <w:szCs w:val="21"/>
                      <w:lang w:val="en-US" w:eastAsia="zh-CN"/>
                      <w14:textFill>
                        <w14:solidFill>
                          <w14:schemeClr w14:val="tx1"/>
                        </w14:solidFill>
                      </w14:textFill>
                    </w:rPr>
                    <w:t>压铸件</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20吨/年</w:t>
                  </w:r>
                </w:p>
              </w:tc>
              <w:tc>
                <w:tcPr>
                  <w:tcW w:w="1175" w:type="dxa"/>
                  <w:noWrap w:val="0"/>
                  <w:vAlign w:val="center"/>
                </w:tcPr>
                <w:p w14:paraId="0A79794F">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相似</w:t>
                  </w:r>
                </w:p>
              </w:tc>
            </w:tr>
            <w:tr w14:paraId="116A8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noWrap w:val="0"/>
                  <w:vAlign w:val="center"/>
                </w:tcPr>
                <w:p w14:paraId="3729AF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highlight w:val="none"/>
                      <w:vertAlign w:val="baseline"/>
                      <w:lang w:val="en-US" w:eastAsia="zh-CN"/>
                      <w14:textFill>
                        <w14:solidFill>
                          <w14:schemeClr w14:val="tx1"/>
                        </w14:solidFill>
                      </w14:textFill>
                    </w:rPr>
                    <w:t>工艺</w:t>
                  </w:r>
                </w:p>
              </w:tc>
              <w:tc>
                <w:tcPr>
                  <w:tcW w:w="2251" w:type="dxa"/>
                  <w:noWrap w:val="0"/>
                  <w:vAlign w:val="center"/>
                </w:tcPr>
                <w:p w14:paraId="308D8811">
                  <w:pPr>
                    <w:pStyle w:val="75"/>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highlight w:val="none"/>
                      <w:vertAlign w:val="baseline"/>
                      <w:lang w:val="en-US" w:eastAsia="zh-CN"/>
                      <w14:textFill>
                        <w14:solidFill>
                          <w14:schemeClr w14:val="tx1"/>
                        </w14:solidFill>
                      </w14:textFill>
                    </w:rPr>
                    <w:t>熔融、压铸、打磨、抛光、</w:t>
                  </w:r>
                  <w:r>
                    <w:rPr>
                      <w:rFonts w:hint="eastAsia" w:ascii="Times New Roman" w:hAnsi="Times New Roman"/>
                      <w:color w:val="000000" w:themeColor="text1"/>
                      <w:spacing w:val="0"/>
                      <w:sz w:val="21"/>
                      <w:highlight w:val="none"/>
                      <w:vertAlign w:val="baseline"/>
                      <w:lang w:val="en-US" w:eastAsia="zh-CN"/>
                      <w14:textFill>
                        <w14:solidFill>
                          <w14:schemeClr w14:val="tx1"/>
                        </w14:solidFill>
                      </w14:textFill>
                    </w:rPr>
                    <w:t>研磨、攻牙、钻孔、</w:t>
                  </w:r>
                </w:p>
              </w:tc>
              <w:tc>
                <w:tcPr>
                  <w:tcW w:w="2483" w:type="dxa"/>
                  <w:noWrap w:val="0"/>
                  <w:vAlign w:val="center"/>
                </w:tcPr>
                <w:p w14:paraId="4E184CB5">
                  <w:pPr>
                    <w:pStyle w:val="75"/>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熔融、压铸、研磨、钻孔攻牙、抛光</w:t>
                  </w:r>
                </w:p>
              </w:tc>
              <w:tc>
                <w:tcPr>
                  <w:tcW w:w="1175" w:type="dxa"/>
                  <w:noWrap w:val="0"/>
                  <w:vAlign w:val="center"/>
                </w:tcPr>
                <w:p w14:paraId="771FF72A">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相</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似</w:t>
                  </w:r>
                </w:p>
              </w:tc>
            </w:tr>
            <w:tr w14:paraId="4FBD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00" w:type="dxa"/>
                  <w:noWrap w:val="0"/>
                  <w:vAlign w:val="center"/>
                </w:tcPr>
                <w:p w14:paraId="47062D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olor w:val="000000" w:themeColor="text1"/>
                      <w:spacing w:val="0"/>
                      <w:sz w:val="21"/>
                      <w:highlight w:val="none"/>
                      <w:vertAlign w:val="baseline"/>
                      <w:lang w:val="en-US" w:eastAsia="zh-CN"/>
                      <w14:textFill>
                        <w14:solidFill>
                          <w14:schemeClr w14:val="tx1"/>
                        </w14:solidFill>
                      </w14:textFill>
                    </w:rPr>
                    <w:t>主要设备</w:t>
                  </w:r>
                </w:p>
              </w:tc>
              <w:tc>
                <w:tcPr>
                  <w:tcW w:w="2251" w:type="dxa"/>
                  <w:noWrap w:val="0"/>
                  <w:vAlign w:val="center"/>
                </w:tcPr>
                <w:p w14:paraId="6123FB80">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压铸机、电炉、滚动式研磨抛光机、螺旋式振动研磨机、数控车床等</w:t>
                  </w:r>
                </w:p>
              </w:tc>
              <w:tc>
                <w:tcPr>
                  <w:tcW w:w="2483" w:type="dxa"/>
                  <w:noWrap w:val="0"/>
                  <w:vAlign w:val="center"/>
                </w:tcPr>
                <w:p w14:paraId="6C9807AB">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压铸机、熔炉</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抛光机、</w:t>
                  </w:r>
                  <w:r>
                    <w:rPr>
                      <w:color w:val="000000" w:themeColor="text1"/>
                      <w:kern w:val="0"/>
                      <w:szCs w:val="21"/>
                      <w:lang w:bidi="ar"/>
                      <w14:textFill>
                        <w14:solidFill>
                          <w14:schemeClr w14:val="tx1"/>
                        </w14:solidFill>
                      </w14:textFill>
                    </w:rPr>
                    <w:t>震动盘</w:t>
                  </w:r>
                  <w:r>
                    <w:rPr>
                      <w:rFonts w:hint="eastAsia"/>
                      <w:color w:val="000000" w:themeColor="text1"/>
                      <w:kern w:val="0"/>
                      <w:szCs w:val="21"/>
                      <w:lang w:eastAsia="zh-CN" w:bidi="ar"/>
                      <w14:textFill>
                        <w14:solidFill>
                          <w14:schemeClr w14:val="tx1"/>
                        </w14:solidFill>
                      </w14:textFill>
                    </w:rPr>
                    <w:t>、</w:t>
                  </w:r>
                  <w:r>
                    <w:rPr>
                      <w:color w:val="000000" w:themeColor="text1"/>
                      <w:kern w:val="0"/>
                      <w:szCs w:val="21"/>
                      <w:lang w:bidi="ar"/>
                      <w14:textFill>
                        <w14:solidFill>
                          <w14:schemeClr w14:val="tx1"/>
                        </w14:solidFill>
                      </w14:textFill>
                    </w:rPr>
                    <w:t>磁力震光机</w:t>
                  </w:r>
                  <w:r>
                    <w:rPr>
                      <w:rFonts w:hint="eastAsia"/>
                      <w:color w:val="000000" w:themeColor="text1"/>
                      <w:kern w:val="0"/>
                      <w:szCs w:val="21"/>
                      <w:lang w:eastAsia="zh-CN" w:bidi="ar"/>
                      <w14:textFill>
                        <w14:solidFill>
                          <w14:schemeClr w14:val="tx1"/>
                        </w14:solidFill>
                      </w14:textFill>
                    </w:rPr>
                    <w:t>、</w:t>
                  </w:r>
                  <w:r>
                    <w:rPr>
                      <w:rFonts w:hint="eastAsia"/>
                      <w:color w:val="000000" w:themeColor="text1"/>
                      <w:kern w:val="0"/>
                      <w:szCs w:val="21"/>
                      <w:lang w:val="en-US" w:eastAsia="zh-CN" w:bidi="ar"/>
                      <w14:textFill>
                        <w14:solidFill>
                          <w14:schemeClr w14:val="tx1"/>
                        </w14:solidFill>
                      </w14:textFill>
                    </w:rPr>
                    <w:t>车床等</w:t>
                  </w:r>
                </w:p>
              </w:tc>
              <w:tc>
                <w:tcPr>
                  <w:tcW w:w="1175" w:type="dxa"/>
                  <w:noWrap w:val="0"/>
                  <w:vAlign w:val="center"/>
                </w:tcPr>
                <w:p w14:paraId="37C5A76D">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相似</w:t>
                  </w:r>
                </w:p>
              </w:tc>
            </w:tr>
            <w:tr w14:paraId="5574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noWrap w:val="0"/>
                  <w:vAlign w:val="center"/>
                </w:tcPr>
                <w:p w14:paraId="15284ED5">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废水产生类型</w:t>
                  </w:r>
                </w:p>
              </w:tc>
              <w:tc>
                <w:tcPr>
                  <w:tcW w:w="2251" w:type="dxa"/>
                  <w:noWrap w:val="0"/>
                  <w:vAlign w:val="center"/>
                </w:tcPr>
                <w:p w14:paraId="3DD30F51">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抛光废水、水喷淋废水</w:t>
                  </w:r>
                  <w:r>
                    <w:rPr>
                      <w:rFonts w:hint="eastAsia" w:cs="Times New Roman"/>
                      <w:color w:val="000000" w:themeColor="text1"/>
                      <w:sz w:val="21"/>
                      <w:szCs w:val="21"/>
                      <w:highlight w:val="none"/>
                      <w:lang w:val="en-US" w:eastAsia="zh-CN"/>
                      <w14:textFill>
                        <w14:solidFill>
                          <w14:schemeClr w14:val="tx1"/>
                        </w14:solidFill>
                      </w14:textFill>
                    </w:rPr>
                    <w:t>、研磨废水</w:t>
                  </w:r>
                </w:p>
              </w:tc>
              <w:tc>
                <w:tcPr>
                  <w:tcW w:w="2483" w:type="dxa"/>
                  <w:noWrap w:val="0"/>
                  <w:vAlign w:val="center"/>
                </w:tcPr>
                <w:p w14:paraId="2B26B151">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抛光废水、水喷淋废水</w:t>
                  </w:r>
                  <w:r>
                    <w:rPr>
                      <w:rFonts w:hint="eastAsia" w:cs="Times New Roman"/>
                      <w:color w:val="000000" w:themeColor="text1"/>
                      <w:sz w:val="21"/>
                      <w:szCs w:val="21"/>
                      <w:highlight w:val="none"/>
                      <w:lang w:val="en-US" w:eastAsia="zh-CN"/>
                      <w14:textFill>
                        <w14:solidFill>
                          <w14:schemeClr w14:val="tx1"/>
                        </w14:solidFill>
                      </w14:textFill>
                    </w:rPr>
                    <w:t>、研磨废水</w:t>
                  </w:r>
                </w:p>
              </w:tc>
              <w:tc>
                <w:tcPr>
                  <w:tcW w:w="1175" w:type="dxa"/>
                  <w:noWrap w:val="0"/>
                  <w:vAlign w:val="center"/>
                </w:tcPr>
                <w:p w14:paraId="571D424D">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相似</w:t>
                  </w:r>
                </w:p>
              </w:tc>
            </w:tr>
            <w:tr w14:paraId="50EA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4" w:type="dxa"/>
                  <w:gridSpan w:val="3"/>
                  <w:noWrap w:val="0"/>
                  <w:vAlign w:val="center"/>
                </w:tcPr>
                <w:p w14:paraId="5B013DC5">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结论</w:t>
                  </w:r>
                </w:p>
              </w:tc>
              <w:tc>
                <w:tcPr>
                  <w:tcW w:w="1175" w:type="dxa"/>
                  <w:noWrap w:val="0"/>
                  <w:vAlign w:val="center"/>
                </w:tcPr>
                <w:p w14:paraId="795519F6">
                  <w:pPr>
                    <w:keepNext w:val="0"/>
                    <w:keepLines w:val="0"/>
                    <w:pageBreakBefore w:val="0"/>
                    <w:widowControl w:val="0"/>
                    <w:kinsoku/>
                    <w:wordWrap/>
                    <w:overflowPunct w:val="0"/>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具有可类比</w:t>
                  </w:r>
                </w:p>
              </w:tc>
            </w:tr>
          </w:tbl>
          <w:p w14:paraId="1FBEEE1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经过分析对比，中山市三工金属制品有限公司与本项目主要原材料、</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主要设备</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产品产量、污染物种类、</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生产工艺类型相似，具有类比可行性</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2B1BF1AC">
            <w:pPr>
              <w:widowControl/>
              <w:numPr>
                <w:ilvl w:val="0"/>
                <w:numId w:val="0"/>
              </w:numPr>
              <w:spacing w:line="360" w:lineRule="auto"/>
              <w:contextualSpacing/>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0"/>
                <w:kern w:val="2"/>
                <w:position w:val="0"/>
                <w:sz w:val="24"/>
                <w:szCs w:val="24"/>
                <w:highlight w:val="none"/>
                <w:lang w:val="en-US" w:eastAsia="zh-CN" w:bidi="ar-SA"/>
                <w14:textFill>
                  <w14:solidFill>
                    <w14:schemeClr w14:val="tx1"/>
                  </w14:solidFill>
                </w14:textFill>
              </w:rPr>
              <w:t>表</w:t>
            </w:r>
            <w:r>
              <w:rPr>
                <w:rFonts w:hint="eastAsia" w:cs="Times New Roman"/>
                <w:b/>
                <w:bCs w:val="0"/>
                <w:color w:val="000000" w:themeColor="text1"/>
                <w:spacing w:val="0"/>
                <w:kern w:val="2"/>
                <w:position w:val="0"/>
                <w:sz w:val="24"/>
                <w:szCs w:val="24"/>
                <w:highlight w:val="none"/>
                <w:lang w:val="en-US" w:eastAsia="zh-CN" w:bidi="ar-SA"/>
                <w14:textFill>
                  <w14:solidFill>
                    <w14:schemeClr w14:val="tx1"/>
                  </w14:solidFill>
                </w14:textFill>
              </w:rPr>
              <w:t>31</w:t>
            </w:r>
            <w:r>
              <w:rPr>
                <w:rFonts w:hint="eastAsia" w:ascii="Times New Roman" w:hAnsi="Times New Roman" w:eastAsia="宋体" w:cs="Times New Roman"/>
                <w:b/>
                <w:bCs w:val="0"/>
                <w:color w:val="000000" w:themeColor="text1"/>
                <w:spacing w:val="0"/>
                <w:kern w:val="2"/>
                <w:position w:val="0"/>
                <w:sz w:val="24"/>
                <w:szCs w:val="24"/>
                <w:highlight w:val="none"/>
                <w:lang w:val="en-US" w:eastAsia="zh-CN" w:bidi="ar-SA"/>
                <w14:textFill>
                  <w14:solidFill>
                    <w14:schemeClr w14:val="tx1"/>
                  </w14:solidFill>
                </w14:textFill>
              </w:rPr>
              <w:t>生产废水</w:t>
            </w:r>
            <w:r>
              <w:rPr>
                <w:rFonts w:hint="default" w:ascii="Times New Roman" w:hAnsi="Times New Roman" w:eastAsia="宋体" w:cs="Times New Roman"/>
                <w:b/>
                <w:bCs w:val="0"/>
                <w:color w:val="000000" w:themeColor="text1"/>
                <w:spacing w:val="0"/>
                <w:kern w:val="2"/>
                <w:position w:val="0"/>
                <w:sz w:val="24"/>
                <w:szCs w:val="24"/>
                <w:highlight w:val="none"/>
                <w:lang w:val="en-US" w:eastAsia="zh-CN" w:bidi="ar-SA"/>
                <w14:textFill>
                  <w14:solidFill>
                    <w14:schemeClr w14:val="tx1"/>
                  </w14:solidFill>
                </w14:textFill>
              </w:rPr>
              <w:t>污染物浓度情况表</w:t>
            </w:r>
          </w:p>
          <w:tbl>
            <w:tblPr>
              <w:tblStyle w:val="34"/>
              <w:tblW w:w="8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984"/>
              <w:gridCol w:w="1022"/>
              <w:gridCol w:w="1316"/>
              <w:gridCol w:w="1316"/>
              <w:gridCol w:w="1316"/>
              <w:gridCol w:w="1129"/>
            </w:tblGrid>
            <w:tr w14:paraId="7E48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noWrap w:val="0"/>
                  <w:vAlign w:val="center"/>
                </w:tcPr>
                <w:p w14:paraId="681D78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pacing w:val="0"/>
                      <w:kern w:val="2"/>
                      <w:position w:val="0"/>
                      <w:sz w:val="21"/>
                      <w:szCs w:val="21"/>
                      <w:highlight w:val="none"/>
                      <w:vertAlign w:val="baseline"/>
                      <w:lang w:val="en-US" w:eastAsia="zh-CN" w:bidi="ar-SA"/>
                      <w14:textFill>
                        <w14:solidFill>
                          <w14:schemeClr w14:val="tx1"/>
                        </w14:solidFill>
                      </w14:textFill>
                    </w:rPr>
                    <w:t>废水种类</w:t>
                  </w:r>
                </w:p>
              </w:tc>
              <w:tc>
                <w:tcPr>
                  <w:tcW w:w="579" w:type="pct"/>
                  <w:noWrap w:val="0"/>
                  <w:vAlign w:val="center"/>
                </w:tcPr>
                <w:p w14:paraId="0E30B7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t>转移废水量t/a</w:t>
                  </w:r>
                </w:p>
              </w:tc>
              <w:tc>
                <w:tcPr>
                  <w:tcW w:w="601" w:type="pct"/>
                  <w:noWrap w:val="0"/>
                  <w:vAlign w:val="center"/>
                </w:tcPr>
                <w:p w14:paraId="22D1DF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pacing w:val="0"/>
                      <w:kern w:val="2"/>
                      <w:position w:val="0"/>
                      <w:sz w:val="21"/>
                      <w:szCs w:val="21"/>
                      <w:highlight w:val="none"/>
                      <w:vertAlign w:val="baseline"/>
                      <w:lang w:val="en-US" w:eastAsia="zh-CN" w:bidi="ar-SA"/>
                      <w14:textFill>
                        <w14:solidFill>
                          <w14:schemeClr w14:val="tx1"/>
                        </w14:solidFill>
                      </w14:textFill>
                    </w:rPr>
                    <w:t>污染物</w:t>
                  </w:r>
                </w:p>
              </w:tc>
              <w:tc>
                <w:tcPr>
                  <w:tcW w:w="774" w:type="pct"/>
                  <w:noWrap w:val="0"/>
                  <w:vAlign w:val="center"/>
                </w:tcPr>
                <w:p w14:paraId="6CBFBFB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highlight w:val="none"/>
                      <w:lang w:val="en-US" w:eastAsia="zh-CN"/>
                      <w14:textFill>
                        <w14:solidFill>
                          <w14:schemeClr w14:val="tx1"/>
                        </w14:solidFill>
                      </w14:textFill>
                    </w:rPr>
                    <w:t>水喷淋废水、抛光废水类比污染物浓度mg/L</w:t>
                  </w:r>
                </w:p>
              </w:tc>
              <w:tc>
                <w:tcPr>
                  <w:tcW w:w="774" w:type="pct"/>
                  <w:noWrap w:val="0"/>
                  <w:vAlign w:val="center"/>
                </w:tcPr>
                <w:p w14:paraId="7ACB073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highlight w:val="none"/>
                      <w:lang w:val="en-US" w:eastAsia="zh-CN"/>
                      <w14:textFill>
                        <w14:solidFill>
                          <w14:schemeClr w14:val="tx1"/>
                        </w14:solidFill>
                      </w14:textFill>
                    </w:rPr>
                  </w:pPr>
                  <w:r>
                    <w:rPr>
                      <w:rFonts w:hint="eastAsia" w:cs="Times New Roman"/>
                      <w:b/>
                      <w:bCs/>
                      <w:color w:val="000000" w:themeColor="text1"/>
                      <w:spacing w:val="0"/>
                      <w:kern w:val="2"/>
                      <w:position w:val="0"/>
                      <w:sz w:val="21"/>
                      <w:szCs w:val="21"/>
                      <w:highlight w:val="none"/>
                      <w:vertAlign w:val="baseline"/>
                      <w:lang w:val="en-US" w:eastAsia="zh-CN" w:bidi="ar-SA"/>
                      <w14:textFill>
                        <w14:solidFill>
                          <w14:schemeClr w14:val="tx1"/>
                        </w14:solidFill>
                      </w14:textFill>
                    </w:rPr>
                    <w:t>研磨废水</w:t>
                  </w:r>
                  <w:r>
                    <w:rPr>
                      <w:rFonts w:hint="default" w:ascii="Times New Roman" w:hAnsi="Times New Roman" w:eastAsia="宋体" w:cs="Times New Roman"/>
                      <w:b/>
                      <w:bCs/>
                      <w:color w:val="000000" w:themeColor="text1"/>
                      <w:sz w:val="21"/>
                      <w:highlight w:val="none"/>
                      <w:lang w:val="en-US" w:eastAsia="zh-CN"/>
                      <w14:textFill>
                        <w14:solidFill>
                          <w14:schemeClr w14:val="tx1"/>
                        </w14:solidFill>
                      </w14:textFill>
                    </w:rPr>
                    <w:t>类比污染物浓度mg/L</w:t>
                  </w:r>
                </w:p>
              </w:tc>
              <w:tc>
                <w:tcPr>
                  <w:tcW w:w="774" w:type="pct"/>
                  <w:noWrap w:val="0"/>
                  <w:vAlign w:val="center"/>
                </w:tcPr>
                <w:p w14:paraId="1D0AF7E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highlight w:val="none"/>
                      <w:lang w:val="en-US" w:eastAsia="zh-CN"/>
                      <w14:textFill>
                        <w14:solidFill>
                          <w14:schemeClr w14:val="tx1"/>
                        </w14:solidFill>
                      </w14:textFill>
                    </w:rPr>
                    <w:t>本项目污染物产生浓度取值mg/L</w:t>
                  </w:r>
                </w:p>
              </w:tc>
              <w:tc>
                <w:tcPr>
                  <w:tcW w:w="664" w:type="pct"/>
                  <w:noWrap w:val="0"/>
                  <w:vAlign w:val="center"/>
                </w:tcPr>
                <w:p w14:paraId="0331783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highlight w:val="none"/>
                      <w:lang w:val="en-US" w:eastAsia="zh-CN"/>
                      <w14:textFill>
                        <w14:solidFill>
                          <w14:schemeClr w14:val="tx1"/>
                        </w14:solidFill>
                      </w14:textFill>
                    </w:rPr>
                    <w:t>排放方式</w:t>
                  </w:r>
                </w:p>
                <w:p w14:paraId="7B40F75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highlight w:val="none"/>
                      <w:lang w:val="en-US" w:eastAsia="zh-CN"/>
                      <w14:textFill>
                        <w14:solidFill>
                          <w14:schemeClr w14:val="tx1"/>
                        </w14:solidFill>
                      </w14:textFill>
                    </w:rPr>
                    <w:t>与去向</w:t>
                  </w:r>
                </w:p>
              </w:tc>
            </w:tr>
            <w:tr w14:paraId="161A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Merge w:val="restart"/>
                  <w:noWrap w:val="0"/>
                  <w:vAlign w:val="center"/>
                </w:tcPr>
                <w:p w14:paraId="50F385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水</w:t>
                  </w: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喷淋废水</w:t>
                  </w: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w:t>
                  </w:r>
                  <w:r>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抛光</w:t>
                  </w: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废水</w:t>
                  </w: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、研磨废水</w:t>
                  </w:r>
                </w:p>
              </w:tc>
              <w:tc>
                <w:tcPr>
                  <w:tcW w:w="579" w:type="pct"/>
                  <w:vMerge w:val="restart"/>
                  <w:noWrap w:val="0"/>
                  <w:vAlign w:val="center"/>
                </w:tcPr>
                <w:p w14:paraId="32385A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21.24</w:t>
                  </w:r>
                </w:p>
              </w:tc>
              <w:tc>
                <w:tcPr>
                  <w:tcW w:w="601" w:type="pct"/>
                  <w:noWrap w:val="0"/>
                  <w:vAlign w:val="center"/>
                </w:tcPr>
                <w:p w14:paraId="67E6AE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pH</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无量纲</w:t>
                  </w:r>
                  <w:r>
                    <w:rPr>
                      <w:rFonts w:hint="eastAsia"/>
                      <w:color w:val="000000" w:themeColor="text1"/>
                      <w:highlight w:val="none"/>
                      <w:lang w:eastAsia="zh-CN"/>
                      <w14:textFill>
                        <w14:solidFill>
                          <w14:schemeClr w14:val="tx1"/>
                        </w14:solidFill>
                      </w14:textFill>
                    </w:rPr>
                    <w:t>）</w:t>
                  </w:r>
                </w:p>
              </w:tc>
              <w:tc>
                <w:tcPr>
                  <w:tcW w:w="774" w:type="pct"/>
                  <w:noWrap w:val="0"/>
                  <w:vAlign w:val="center"/>
                </w:tcPr>
                <w:p w14:paraId="63CD06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8.2</w:t>
                  </w:r>
                </w:p>
              </w:tc>
              <w:tc>
                <w:tcPr>
                  <w:tcW w:w="774" w:type="pct"/>
                  <w:shd w:val="clear" w:color="auto" w:fill="auto"/>
                  <w:noWrap w:val="0"/>
                  <w:vAlign w:val="center"/>
                </w:tcPr>
                <w:p w14:paraId="4EAAE9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7.8</w:t>
                  </w:r>
                </w:p>
              </w:tc>
              <w:tc>
                <w:tcPr>
                  <w:tcW w:w="774" w:type="pct"/>
                  <w:noWrap w:val="0"/>
                  <w:vAlign w:val="center"/>
                </w:tcPr>
                <w:p w14:paraId="3873EE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8.5</w:t>
                  </w:r>
                </w:p>
              </w:tc>
              <w:tc>
                <w:tcPr>
                  <w:tcW w:w="664" w:type="pct"/>
                  <w:vMerge w:val="restart"/>
                  <w:noWrap w:val="0"/>
                  <w:vAlign w:val="center"/>
                </w:tcPr>
                <w:p w14:paraId="480864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委托给有处理能力的废水处理机构处理</w:t>
                  </w:r>
                </w:p>
              </w:tc>
            </w:tr>
            <w:tr w14:paraId="1E76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Merge w:val="continue"/>
                  <w:noWrap w:val="0"/>
                  <w:vAlign w:val="center"/>
                </w:tcPr>
                <w:p w14:paraId="08971F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579" w:type="pct"/>
                  <w:vMerge w:val="continue"/>
                  <w:noWrap w:val="0"/>
                  <w:vAlign w:val="center"/>
                </w:tcPr>
                <w:p w14:paraId="6498EF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601" w:type="pct"/>
                  <w:noWrap w:val="0"/>
                  <w:vAlign w:val="center"/>
                </w:tcPr>
                <w:p w14:paraId="77E528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CODcr</w:t>
                  </w:r>
                </w:p>
              </w:tc>
              <w:tc>
                <w:tcPr>
                  <w:tcW w:w="774" w:type="pct"/>
                  <w:noWrap w:val="0"/>
                  <w:vAlign w:val="center"/>
                </w:tcPr>
                <w:p w14:paraId="6A6ECE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163</w:t>
                  </w:r>
                </w:p>
              </w:tc>
              <w:tc>
                <w:tcPr>
                  <w:tcW w:w="774" w:type="pct"/>
                  <w:shd w:val="clear" w:color="auto" w:fill="auto"/>
                  <w:noWrap w:val="0"/>
                  <w:vAlign w:val="center"/>
                </w:tcPr>
                <w:p w14:paraId="4DF4F0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211</w:t>
                  </w:r>
                </w:p>
              </w:tc>
              <w:tc>
                <w:tcPr>
                  <w:tcW w:w="774" w:type="pct"/>
                  <w:noWrap w:val="0"/>
                  <w:vAlign w:val="center"/>
                </w:tcPr>
                <w:p w14:paraId="3F175E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220</w:t>
                  </w:r>
                </w:p>
              </w:tc>
              <w:tc>
                <w:tcPr>
                  <w:tcW w:w="664" w:type="pct"/>
                  <w:vMerge w:val="continue"/>
                  <w:noWrap w:val="0"/>
                  <w:vAlign w:val="center"/>
                </w:tcPr>
                <w:p w14:paraId="411E2B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r>
            <w:tr w14:paraId="47B2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Merge w:val="continue"/>
                  <w:noWrap w:val="0"/>
                  <w:vAlign w:val="center"/>
                </w:tcPr>
                <w:p w14:paraId="7B4A43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579" w:type="pct"/>
                  <w:vMerge w:val="continue"/>
                  <w:noWrap w:val="0"/>
                  <w:vAlign w:val="center"/>
                </w:tcPr>
                <w:p w14:paraId="717A5E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601" w:type="pct"/>
                  <w:noWrap w:val="0"/>
                  <w:vAlign w:val="center"/>
                </w:tcPr>
                <w:p w14:paraId="4A74C5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SS</w:t>
                  </w:r>
                </w:p>
              </w:tc>
              <w:tc>
                <w:tcPr>
                  <w:tcW w:w="774" w:type="pct"/>
                  <w:noWrap w:val="0"/>
                  <w:vAlign w:val="center"/>
                </w:tcPr>
                <w:p w14:paraId="637E23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89</w:t>
                  </w:r>
                </w:p>
              </w:tc>
              <w:tc>
                <w:tcPr>
                  <w:tcW w:w="774" w:type="pct"/>
                  <w:shd w:val="clear" w:color="auto" w:fill="auto"/>
                  <w:noWrap w:val="0"/>
                  <w:vAlign w:val="center"/>
                </w:tcPr>
                <w:p w14:paraId="209BAD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103</w:t>
                  </w:r>
                </w:p>
              </w:tc>
              <w:tc>
                <w:tcPr>
                  <w:tcW w:w="774" w:type="pct"/>
                  <w:noWrap w:val="0"/>
                  <w:vAlign w:val="center"/>
                </w:tcPr>
                <w:p w14:paraId="4B8439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110</w:t>
                  </w:r>
                </w:p>
              </w:tc>
              <w:tc>
                <w:tcPr>
                  <w:tcW w:w="664" w:type="pct"/>
                  <w:vMerge w:val="continue"/>
                  <w:noWrap w:val="0"/>
                  <w:vAlign w:val="center"/>
                </w:tcPr>
                <w:p w14:paraId="2D5176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r>
            <w:tr w14:paraId="64E7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Merge w:val="continue"/>
                  <w:noWrap w:val="0"/>
                  <w:vAlign w:val="center"/>
                </w:tcPr>
                <w:p w14:paraId="1D1DC6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579" w:type="pct"/>
                  <w:vMerge w:val="continue"/>
                  <w:noWrap w:val="0"/>
                  <w:vAlign w:val="center"/>
                </w:tcPr>
                <w:p w14:paraId="61BCAE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601" w:type="pct"/>
                  <w:noWrap w:val="0"/>
                  <w:vAlign w:val="center"/>
                </w:tcPr>
                <w:p w14:paraId="623333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BOD</w:t>
                  </w:r>
                  <w:r>
                    <w:rPr>
                      <w:rFonts w:hint="default" w:ascii="Times New Roman" w:hAnsi="Times New Roman" w:eastAsia="宋体" w:cs="Times New Roman"/>
                      <w:color w:val="000000" w:themeColor="text1"/>
                      <w:spacing w:val="0"/>
                      <w:kern w:val="2"/>
                      <w:position w:val="0"/>
                      <w:sz w:val="21"/>
                      <w:szCs w:val="21"/>
                      <w:highlight w:val="none"/>
                      <w:vertAlign w:val="subscript"/>
                      <w:lang w:val="en-US" w:eastAsia="zh-CN" w:bidi="ar-SA"/>
                      <w14:textFill>
                        <w14:solidFill>
                          <w14:schemeClr w14:val="tx1"/>
                        </w14:solidFill>
                      </w14:textFill>
                    </w:rPr>
                    <w:t>5</w:t>
                  </w:r>
                </w:p>
              </w:tc>
              <w:tc>
                <w:tcPr>
                  <w:tcW w:w="774" w:type="pct"/>
                  <w:noWrap w:val="0"/>
                  <w:vAlign w:val="center"/>
                </w:tcPr>
                <w:p w14:paraId="7AB642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58.3</w:t>
                  </w:r>
                </w:p>
              </w:tc>
              <w:tc>
                <w:tcPr>
                  <w:tcW w:w="774" w:type="pct"/>
                  <w:shd w:val="clear" w:color="auto" w:fill="auto"/>
                  <w:noWrap w:val="0"/>
                  <w:vAlign w:val="center"/>
                </w:tcPr>
                <w:p w14:paraId="5F21EC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74.8</w:t>
                  </w:r>
                </w:p>
              </w:tc>
              <w:tc>
                <w:tcPr>
                  <w:tcW w:w="774" w:type="pct"/>
                  <w:noWrap w:val="0"/>
                  <w:vAlign w:val="center"/>
                </w:tcPr>
                <w:p w14:paraId="781A73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80</w:t>
                  </w:r>
                </w:p>
              </w:tc>
              <w:tc>
                <w:tcPr>
                  <w:tcW w:w="664" w:type="pct"/>
                  <w:vMerge w:val="continue"/>
                  <w:noWrap w:val="0"/>
                  <w:vAlign w:val="center"/>
                </w:tcPr>
                <w:p w14:paraId="1731F1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r>
            <w:tr w14:paraId="77EA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1" w:type="pct"/>
                  <w:vMerge w:val="continue"/>
                  <w:noWrap w:val="0"/>
                  <w:vAlign w:val="center"/>
                </w:tcPr>
                <w:p w14:paraId="5D11B4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579" w:type="pct"/>
                  <w:vMerge w:val="continue"/>
                  <w:noWrap w:val="0"/>
                  <w:vAlign w:val="center"/>
                </w:tcPr>
                <w:p w14:paraId="6515C2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601" w:type="pct"/>
                  <w:noWrap w:val="0"/>
                  <w:vAlign w:val="center"/>
                </w:tcPr>
                <w:p w14:paraId="5E7A28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氨氮</w:t>
                  </w:r>
                </w:p>
              </w:tc>
              <w:tc>
                <w:tcPr>
                  <w:tcW w:w="774" w:type="pct"/>
                  <w:noWrap w:val="0"/>
                  <w:vAlign w:val="center"/>
                </w:tcPr>
                <w:p w14:paraId="427E8E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26.3</w:t>
                  </w:r>
                </w:p>
              </w:tc>
              <w:tc>
                <w:tcPr>
                  <w:tcW w:w="774" w:type="pct"/>
                  <w:shd w:val="clear" w:color="auto" w:fill="auto"/>
                  <w:noWrap w:val="0"/>
                  <w:vAlign w:val="center"/>
                </w:tcPr>
                <w:p w14:paraId="1DF121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30.6</w:t>
                  </w:r>
                </w:p>
              </w:tc>
              <w:tc>
                <w:tcPr>
                  <w:tcW w:w="774" w:type="pct"/>
                  <w:noWrap w:val="0"/>
                  <w:vAlign w:val="center"/>
                </w:tcPr>
                <w:p w14:paraId="606E0E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32</w:t>
                  </w:r>
                </w:p>
              </w:tc>
              <w:tc>
                <w:tcPr>
                  <w:tcW w:w="664" w:type="pct"/>
                  <w:vMerge w:val="continue"/>
                  <w:noWrap w:val="0"/>
                  <w:vAlign w:val="center"/>
                </w:tcPr>
                <w:p w14:paraId="2B368E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r>
            <w:tr w14:paraId="4B6A0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Merge w:val="continue"/>
                  <w:noWrap w:val="0"/>
                  <w:vAlign w:val="center"/>
                </w:tcPr>
                <w:p w14:paraId="4C759D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579" w:type="pct"/>
                  <w:vMerge w:val="continue"/>
                  <w:noWrap w:val="0"/>
                  <w:vAlign w:val="center"/>
                </w:tcPr>
                <w:p w14:paraId="1E7009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601" w:type="pct"/>
                  <w:noWrap w:val="0"/>
                  <w:vAlign w:val="center"/>
                </w:tcPr>
                <w:p w14:paraId="7C4455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色度</w:t>
                  </w:r>
                </w:p>
              </w:tc>
              <w:tc>
                <w:tcPr>
                  <w:tcW w:w="774" w:type="pct"/>
                  <w:noWrap w:val="0"/>
                  <w:vAlign w:val="center"/>
                </w:tcPr>
                <w:p w14:paraId="49D17F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72倍</w:t>
                  </w:r>
                </w:p>
              </w:tc>
              <w:tc>
                <w:tcPr>
                  <w:tcW w:w="774" w:type="pct"/>
                  <w:shd w:val="clear" w:color="auto" w:fill="auto"/>
                  <w:noWrap w:val="0"/>
                  <w:vAlign w:val="center"/>
                </w:tcPr>
                <w:p w14:paraId="006BFD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88</w:t>
                  </w:r>
                  <w:r>
                    <w:rPr>
                      <w:rFonts w:hint="eastAsia"/>
                      <w:color w:val="000000" w:themeColor="text1"/>
                      <w:lang w:val="en-US" w:eastAsia="zh-CN"/>
                      <w14:textFill>
                        <w14:solidFill>
                          <w14:schemeClr w14:val="tx1"/>
                        </w14:solidFill>
                      </w14:textFill>
                    </w:rPr>
                    <w:t>倍</w:t>
                  </w:r>
                </w:p>
              </w:tc>
              <w:tc>
                <w:tcPr>
                  <w:tcW w:w="774" w:type="pct"/>
                  <w:noWrap w:val="0"/>
                  <w:vAlign w:val="center"/>
                </w:tcPr>
                <w:p w14:paraId="49D1A3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90倍</w:t>
                  </w:r>
                </w:p>
              </w:tc>
              <w:tc>
                <w:tcPr>
                  <w:tcW w:w="664" w:type="pct"/>
                  <w:vMerge w:val="continue"/>
                  <w:noWrap w:val="0"/>
                  <w:vAlign w:val="center"/>
                </w:tcPr>
                <w:p w14:paraId="0D7DD7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r>
            <w:tr w14:paraId="1BBF8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Merge w:val="continue"/>
                  <w:noWrap w:val="0"/>
                  <w:vAlign w:val="center"/>
                </w:tcPr>
                <w:p w14:paraId="4BFC8A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579" w:type="pct"/>
                  <w:vMerge w:val="continue"/>
                  <w:noWrap w:val="0"/>
                  <w:vAlign w:val="center"/>
                </w:tcPr>
                <w:p w14:paraId="225754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601" w:type="pct"/>
                  <w:noWrap w:val="0"/>
                  <w:vAlign w:val="center"/>
                </w:tcPr>
                <w:p w14:paraId="7E9ED4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石油类</w:t>
                  </w:r>
                </w:p>
              </w:tc>
              <w:tc>
                <w:tcPr>
                  <w:tcW w:w="774" w:type="pct"/>
                  <w:noWrap w:val="0"/>
                  <w:vAlign w:val="center"/>
                </w:tcPr>
                <w:p w14:paraId="63D916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8.48</w:t>
                  </w:r>
                </w:p>
              </w:tc>
              <w:tc>
                <w:tcPr>
                  <w:tcW w:w="774" w:type="pct"/>
                  <w:shd w:val="clear" w:color="auto" w:fill="auto"/>
                  <w:noWrap w:val="0"/>
                  <w:vAlign w:val="center"/>
                </w:tcPr>
                <w:p w14:paraId="67A0D6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7.65</w:t>
                  </w:r>
                </w:p>
              </w:tc>
              <w:tc>
                <w:tcPr>
                  <w:tcW w:w="774" w:type="pct"/>
                  <w:noWrap w:val="0"/>
                  <w:vAlign w:val="center"/>
                </w:tcPr>
                <w:p w14:paraId="271E1E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10</w:t>
                  </w:r>
                </w:p>
              </w:tc>
              <w:tc>
                <w:tcPr>
                  <w:tcW w:w="664" w:type="pct"/>
                  <w:vMerge w:val="continue"/>
                  <w:noWrap w:val="0"/>
                  <w:vAlign w:val="center"/>
                </w:tcPr>
                <w:p w14:paraId="1C4182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r>
            <w:tr w14:paraId="0A9B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Merge w:val="continue"/>
                  <w:noWrap w:val="0"/>
                  <w:vAlign w:val="center"/>
                </w:tcPr>
                <w:p w14:paraId="3B6E5B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579" w:type="pct"/>
                  <w:vMerge w:val="continue"/>
                  <w:noWrap w:val="0"/>
                  <w:vAlign w:val="center"/>
                </w:tcPr>
                <w:p w14:paraId="74EB3C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c>
                <w:tcPr>
                  <w:tcW w:w="601" w:type="pct"/>
                  <w:noWrap w:val="0"/>
                  <w:vAlign w:val="center"/>
                </w:tcPr>
                <w:p w14:paraId="7D940E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LAS</w:t>
                  </w:r>
                </w:p>
              </w:tc>
              <w:tc>
                <w:tcPr>
                  <w:tcW w:w="774" w:type="pct"/>
                  <w:noWrap w:val="0"/>
                  <w:vAlign w:val="center"/>
                </w:tcPr>
                <w:p w14:paraId="688D37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w:t>
                  </w:r>
                </w:p>
              </w:tc>
              <w:tc>
                <w:tcPr>
                  <w:tcW w:w="774" w:type="pct"/>
                  <w:shd w:val="clear" w:color="auto" w:fill="auto"/>
                  <w:noWrap w:val="0"/>
                  <w:vAlign w:val="center"/>
                </w:tcPr>
                <w:p w14:paraId="00EB3B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w:t>
                  </w:r>
                </w:p>
              </w:tc>
              <w:tc>
                <w:tcPr>
                  <w:tcW w:w="774" w:type="pct"/>
                  <w:noWrap w:val="0"/>
                  <w:vAlign w:val="center"/>
                </w:tcPr>
                <w:p w14:paraId="40DF36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200</w:t>
                  </w:r>
                </w:p>
              </w:tc>
              <w:tc>
                <w:tcPr>
                  <w:tcW w:w="664" w:type="pct"/>
                  <w:vMerge w:val="continue"/>
                  <w:noWrap w:val="0"/>
                  <w:vAlign w:val="center"/>
                </w:tcPr>
                <w:p w14:paraId="4CA474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p>
              </w:tc>
            </w:tr>
          </w:tbl>
          <w:p w14:paraId="20E8A1AC">
            <w:pPr>
              <w:pStyle w:val="75"/>
              <w:keepNext w:val="0"/>
              <w:keepLines/>
              <w:pageBreakBefore w:val="0"/>
              <w:widowControl/>
              <w:numPr>
                <w:ilvl w:val="0"/>
                <w:numId w:val="0"/>
              </w:numPr>
              <w:kinsoku/>
              <w:wordWrap/>
              <w:overflowPunct/>
              <w:topLinePunct w:val="0"/>
              <w:autoSpaceDE/>
              <w:autoSpaceDN/>
              <w:bidi w:val="0"/>
              <w:adjustRightInd/>
              <w:snapToGrid/>
              <w:spacing w:before="121" w:line="336" w:lineRule="auto"/>
              <w:ind w:leftChars="0" w:right="0" w:rightChars="0" w:firstLine="420" w:firstLineChars="200"/>
              <w:jc w:val="left"/>
              <w:textAlignment w:val="auto"/>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t>注：废水</w:t>
            </w:r>
            <w:r>
              <w:rPr>
                <w:rFonts w:hint="eastAsia" w:ascii="Times New Roman" w:hAnsi="Times New Roman" w:cs="宋体"/>
                <w:color w:val="000000" w:themeColor="text1"/>
                <w:spacing w:val="0"/>
                <w:sz w:val="21"/>
                <w:szCs w:val="21"/>
                <w:highlight w:val="none"/>
                <w:lang w:val="en-US" w:eastAsia="zh-CN"/>
                <w14:textFill>
                  <w14:solidFill>
                    <w14:schemeClr w14:val="tx1"/>
                  </w14:solidFill>
                </w14:textFill>
              </w:rPr>
              <w:t>污染物</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pH、CODcr、BOD</w:t>
            </w:r>
            <w:r>
              <w:rPr>
                <w:rFonts w:hint="default" w:ascii="Times New Roman" w:hAnsi="Times New Roman" w:eastAsia="宋体" w:cs="Times New Roman"/>
                <w:b w:val="0"/>
                <w:bCs/>
                <w:color w:val="000000" w:themeColor="text1"/>
                <w:spacing w:val="-10"/>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b w:val="0"/>
                <w:bCs/>
                <w:color w:val="000000" w:themeColor="text1"/>
                <w:spacing w:val="-10"/>
                <w:sz w:val="21"/>
                <w:szCs w:val="21"/>
                <w:highlight w:val="none"/>
                <w:lang w:val="en-US" w:eastAsia="zh-CN"/>
                <w14:textFill>
                  <w14:solidFill>
                    <w14:schemeClr w14:val="tx1"/>
                  </w14:solidFill>
                </w14:textFill>
              </w:rPr>
              <w:t>、SS、石油类、氨氮、色度</w:t>
            </w:r>
            <w:r>
              <w:rPr>
                <w:rFonts w:hint="eastAsia" w:ascii="Times New Roman" w:hAnsi="Times New Roman" w:eastAsia="宋体" w:cs="宋体"/>
                <w:color w:val="000000" w:themeColor="text1"/>
                <w:spacing w:val="0"/>
                <w:sz w:val="21"/>
                <w:szCs w:val="21"/>
                <w:highlight w:val="none"/>
                <w:lang w:val="en-US" w:eastAsia="zh-CN"/>
                <w14:textFill>
                  <w14:solidFill>
                    <w14:schemeClr w14:val="tx1"/>
                  </w14:solidFill>
                </w14:textFill>
              </w:rPr>
              <w:t>类比浓度来源于广东中辰检测技术有限公司出具的《中山市三工金属制品有限公司环境质量现状监测报告》（ZCJC-250225-C11-Z，详见附册）</w:t>
            </w:r>
            <w:r>
              <w:rPr>
                <w:rFonts w:hint="eastAsia" w:ascii="Times New Roman" w:hAnsi="Times New Roman" w:cs="宋体"/>
                <w:color w:val="000000" w:themeColor="text1"/>
                <w:spacing w:val="0"/>
                <w:sz w:val="21"/>
                <w:szCs w:val="21"/>
                <w:highlight w:val="none"/>
                <w:lang w:val="en-US" w:eastAsia="zh-CN"/>
                <w14:textFill>
                  <w14:solidFill>
                    <w14:schemeClr w14:val="tx1"/>
                  </w14:solidFill>
                </w14:textFill>
              </w:rPr>
              <w:t>。</w:t>
            </w:r>
          </w:p>
          <w:p w14:paraId="3E6F8588">
            <w:pPr>
              <w:widowControl/>
              <w:numPr>
                <w:ilvl w:val="0"/>
                <w:numId w:val="0"/>
              </w:numPr>
              <w:spacing w:line="360" w:lineRule="auto"/>
              <w:contextualSpacing/>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w:t>
            </w:r>
            <w:r>
              <w:rPr>
                <w:rFonts w:hint="eastAsia" w:cs="Times New Roman"/>
                <w:b/>
                <w:bCs/>
                <w:color w:val="000000" w:themeColor="text1"/>
                <w:sz w:val="24"/>
                <w:szCs w:val="24"/>
                <w:highlight w:val="none"/>
                <w:lang w:val="en-US" w:eastAsia="zh-CN"/>
                <w14:textFill>
                  <w14:solidFill>
                    <w14:schemeClr w14:val="tx1"/>
                  </w14:solidFill>
                </w14:textFill>
              </w:rPr>
              <w:t>32</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废水转移单位情况一览表</w:t>
            </w:r>
          </w:p>
          <w:tbl>
            <w:tblPr>
              <w:tblStyle w:val="33"/>
              <w:tblW w:w="7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0"/>
              <w:gridCol w:w="1391"/>
              <w:gridCol w:w="1328"/>
              <w:gridCol w:w="927"/>
              <w:gridCol w:w="859"/>
              <w:gridCol w:w="2244"/>
            </w:tblGrid>
            <w:tr w14:paraId="2DB1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dxa"/>
                  <w:noWrap w:val="0"/>
                  <w:vAlign w:val="center"/>
                </w:tcPr>
                <w:p w14:paraId="2CE9386D">
                  <w:pPr>
                    <w:pStyle w:val="71"/>
                    <w:jc w:val="center"/>
                    <w:rPr>
                      <w:rFonts w:hint="default" w:ascii="Times New Roman" w:hAnsi="Times New Roman" w:eastAsia="宋体" w:cs="Times New Roman"/>
                      <w:b/>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单位名称</w:t>
                  </w:r>
                </w:p>
              </w:tc>
              <w:tc>
                <w:tcPr>
                  <w:tcW w:w="1391" w:type="dxa"/>
                  <w:noWrap w:val="0"/>
                  <w:vAlign w:val="center"/>
                </w:tcPr>
                <w:p w14:paraId="3EA21C8E">
                  <w:pPr>
                    <w:pStyle w:val="71"/>
                    <w:jc w:val="center"/>
                    <w:rPr>
                      <w:rFonts w:hint="default" w:ascii="Times New Roman" w:hAnsi="Times New Roman" w:eastAsia="宋体" w:cs="Times New Roman"/>
                      <w:b/>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地址</w:t>
                  </w:r>
                </w:p>
              </w:tc>
              <w:tc>
                <w:tcPr>
                  <w:tcW w:w="1328" w:type="dxa"/>
                  <w:noWrap w:val="0"/>
                  <w:vAlign w:val="center"/>
                </w:tcPr>
                <w:p w14:paraId="0806C805">
                  <w:pPr>
                    <w:pStyle w:val="71"/>
                    <w:jc w:val="center"/>
                    <w:rPr>
                      <w:rFonts w:hint="default" w:ascii="Times New Roman" w:hAnsi="Times New Roman" w:eastAsia="宋体" w:cs="Times New Roman"/>
                      <w:b/>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处理废水类别</w:t>
                  </w:r>
                </w:p>
              </w:tc>
              <w:tc>
                <w:tcPr>
                  <w:tcW w:w="927" w:type="dxa"/>
                  <w:noWrap w:val="0"/>
                  <w:vAlign w:val="center"/>
                </w:tcPr>
                <w:p w14:paraId="41A68CD4">
                  <w:pPr>
                    <w:pStyle w:val="71"/>
                    <w:jc w:val="center"/>
                    <w:rPr>
                      <w:rFonts w:hint="default" w:ascii="Times New Roman" w:hAnsi="Times New Roman" w:eastAsia="宋体" w:cs="Times New Roman"/>
                      <w:b/>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处理能力</w:t>
                  </w:r>
                </w:p>
              </w:tc>
              <w:tc>
                <w:tcPr>
                  <w:tcW w:w="859" w:type="dxa"/>
                  <w:noWrap w:val="0"/>
                  <w:vAlign w:val="center"/>
                </w:tcPr>
                <w:p w14:paraId="52BA4624">
                  <w:pPr>
                    <w:pStyle w:val="71"/>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余量</w:t>
                  </w:r>
                </w:p>
              </w:tc>
              <w:tc>
                <w:tcPr>
                  <w:tcW w:w="2244" w:type="dxa"/>
                  <w:noWrap w:val="0"/>
                  <w:vAlign w:val="center"/>
                </w:tcPr>
                <w:p w14:paraId="7D9A6684">
                  <w:pPr>
                    <w:pStyle w:val="71"/>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接收水质要求</w:t>
                  </w:r>
                </w:p>
              </w:tc>
            </w:tr>
            <w:tr w14:paraId="23B28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dxa"/>
                  <w:noWrap w:val="0"/>
                  <w:vAlign w:val="center"/>
                </w:tcPr>
                <w:p w14:paraId="75660A6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val="en-US" w:eastAsia="en-US" w:bidi="ar-SA"/>
                      <w14:textFill>
                        <w14:solidFill>
                          <w14:schemeClr w14:val="tx1"/>
                        </w14:solidFill>
                      </w14:textFill>
                    </w:rPr>
                    <w:t>广东一能环保技术有限公司</w:t>
                  </w:r>
                </w:p>
              </w:tc>
              <w:tc>
                <w:tcPr>
                  <w:tcW w:w="1391" w:type="dxa"/>
                  <w:noWrap w:val="0"/>
                  <w:vAlign w:val="center"/>
                </w:tcPr>
                <w:p w14:paraId="79C7BC0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宋体" w:hAnsi="宋体" w:eastAsia="宋体" w:cs="宋体"/>
                      <w:snapToGrid w:val="0"/>
                      <w:color w:val="000000" w:themeColor="text1"/>
                      <w:spacing w:val="2"/>
                      <w:kern w:val="0"/>
                      <w:sz w:val="21"/>
                      <w:szCs w:val="21"/>
                      <w:highlight w:val="none"/>
                      <w:lang w:val="en-US" w:eastAsia="en-US" w:bidi="ar-SA"/>
                      <w14:textFill>
                        <w14:solidFill>
                          <w14:schemeClr w14:val="tx1"/>
                        </w14:solidFill>
                      </w14:textFill>
                    </w:rPr>
                    <w:t>中山小榄镇胜龙村天盛围</w:t>
                  </w:r>
                </w:p>
              </w:tc>
              <w:tc>
                <w:tcPr>
                  <w:tcW w:w="1328" w:type="dxa"/>
                  <w:noWrap w:val="0"/>
                  <w:vAlign w:val="center"/>
                </w:tcPr>
                <w:p w14:paraId="2621824E">
                  <w:pPr>
                    <w:keepNext w:val="0"/>
                    <w:keepLines w:val="0"/>
                    <w:widowControl/>
                    <w:suppressLineNumbers w:val="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化工、实验室、科研机构等废水；涂料、印刷废水；金属表面处理废水、喷涂、喷漆废水；研磨、纯水制备等废水、一般废水。</w:t>
                  </w:r>
                </w:p>
              </w:tc>
              <w:tc>
                <w:tcPr>
                  <w:tcW w:w="927" w:type="dxa"/>
                  <w:noWrap w:val="0"/>
                  <w:vAlign w:val="center"/>
                </w:tcPr>
                <w:p w14:paraId="00374DCE">
                  <w:pPr>
                    <w:pStyle w:val="71"/>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1000吨/日</w:t>
                  </w:r>
                </w:p>
              </w:tc>
              <w:tc>
                <w:tcPr>
                  <w:tcW w:w="859" w:type="dxa"/>
                  <w:noWrap w:val="0"/>
                  <w:vAlign w:val="center"/>
                </w:tcPr>
                <w:p w14:paraId="10907AD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宋体" w:hAnsi="宋体" w:eastAsia="宋体" w:cs="宋体"/>
                      <w:snapToGrid w:val="0"/>
                      <w:color w:val="000000" w:themeColor="text1"/>
                      <w:spacing w:val="2"/>
                      <w:kern w:val="0"/>
                      <w:sz w:val="21"/>
                      <w:szCs w:val="21"/>
                      <w:highlight w:val="none"/>
                      <w:lang w:val="en-US" w:eastAsia="en-US" w:bidi="ar-SA"/>
                      <w14:textFill>
                        <w14:solidFill>
                          <w14:schemeClr w14:val="tx1"/>
                        </w14:solidFill>
                      </w14:textFill>
                    </w:rPr>
                    <w:t>约</w:t>
                  </w:r>
                  <w:r>
                    <w:rPr>
                      <w:rFonts w:hint="default" w:ascii="Times New Roman" w:hAnsi="Times New Roman" w:cs="Times New Roman"/>
                      <w:snapToGrid w:val="0"/>
                      <w:color w:val="000000" w:themeColor="text1"/>
                      <w:spacing w:val="2"/>
                      <w:kern w:val="0"/>
                      <w:sz w:val="21"/>
                      <w:szCs w:val="21"/>
                      <w:highlight w:val="none"/>
                      <w:lang w:val="en-US" w:eastAsia="zh-CN" w:bidi="ar-SA"/>
                      <w14:textFill>
                        <w14:solidFill>
                          <w14:schemeClr w14:val="tx1"/>
                        </w14:solidFill>
                      </w14:textFill>
                    </w:rPr>
                    <w:t>720</w:t>
                  </w:r>
                  <w:r>
                    <w:rPr>
                      <w:rFonts w:hint="eastAsia" w:ascii="Times New Roman" w:hAnsi="Times New Roman" w:cs="Times New Roman"/>
                      <w:snapToGrid w:val="0"/>
                      <w:color w:val="000000" w:themeColor="text1"/>
                      <w:spacing w:val="2"/>
                      <w:kern w:val="0"/>
                      <w:sz w:val="21"/>
                      <w:szCs w:val="21"/>
                      <w:highlight w:val="none"/>
                      <w:lang w:val="en-US" w:eastAsia="zh-CN" w:bidi="ar-SA"/>
                      <w14:textFill>
                        <w14:solidFill>
                          <w14:schemeClr w14:val="tx1"/>
                        </w14:solidFill>
                      </w14:textFill>
                    </w:rPr>
                    <w:t>吨/日</w:t>
                  </w:r>
                </w:p>
              </w:tc>
              <w:tc>
                <w:tcPr>
                  <w:tcW w:w="2244" w:type="dxa"/>
                  <w:noWrap w:val="0"/>
                  <w:vAlign w:val="center"/>
                </w:tcPr>
                <w:p w14:paraId="1154F43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CODcr≤10000mg/L、BOD</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lang w:val="en-US" w:eastAsia="zh-CN"/>
                      <w14:textFill>
                        <w14:solidFill>
                          <w14:schemeClr w14:val="tx1"/>
                        </w14:solidFill>
                      </w14:textFill>
                    </w:rPr>
                    <w:t>2000mg/L、氨</w:t>
                  </w:r>
                </w:p>
                <w:p w14:paraId="78FDBE73">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氮≤40mg/L、总磷</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lang w:val="en-US" w:eastAsia="zh-CN"/>
                      <w14:textFill>
                        <w14:solidFill>
                          <w14:schemeClr w14:val="tx1"/>
                        </w14:solidFill>
                      </w14:textFill>
                    </w:rPr>
                    <w:t>0mg/L、SS≤500mg/L、石油类</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lang w:val="en-US" w:eastAsia="zh-CN"/>
                      <w14:textFill>
                        <w14:solidFill>
                          <w14:schemeClr w14:val="tx1"/>
                        </w14:solidFill>
                      </w14:textFill>
                    </w:rPr>
                    <w:t>0mg/L</w:t>
                  </w:r>
                </w:p>
              </w:tc>
            </w:tr>
          </w:tbl>
          <w:p w14:paraId="3D2F359F">
            <w:pPr>
              <w:spacing w:line="360" w:lineRule="auto"/>
              <w:ind w:firstLine="420" w:firstLineChars="20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照上述所列废水转移单位情况，该废水处理单位处理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余量</w:t>
            </w:r>
            <w:r>
              <w:rPr>
                <w:rFonts w:hint="default" w:ascii="Times New Roman" w:hAnsi="Times New Roman" w:eastAsia="宋体" w:cs="Times New Roman"/>
                <w:color w:val="000000" w:themeColor="text1"/>
                <w:sz w:val="21"/>
                <w:szCs w:val="21"/>
                <w:highlight w:val="none"/>
                <w14:textFill>
                  <w14:solidFill>
                    <w14:schemeClr w14:val="tx1"/>
                  </w14:solidFill>
                </w14:textFill>
              </w:rPr>
              <w:t>约为</w:t>
            </w:r>
            <w:r>
              <w:rPr>
                <w:rFonts w:hint="eastAsia" w:cs="Times New Roman"/>
                <w:color w:val="000000" w:themeColor="text1"/>
                <w:sz w:val="21"/>
                <w:szCs w:val="21"/>
                <w:highlight w:val="none"/>
                <w:lang w:val="en-US" w:eastAsia="zh-CN"/>
                <w14:textFill>
                  <w14:solidFill>
                    <w14:schemeClr w14:val="tx1"/>
                  </w14:solidFill>
                </w14:textFill>
              </w:rPr>
              <w:t>720</w:t>
            </w:r>
            <w:r>
              <w:rPr>
                <w:rFonts w:hint="default" w:ascii="Times New Roman" w:hAnsi="Times New Roman" w:eastAsia="宋体" w:cs="Times New Roman"/>
                <w:color w:val="000000" w:themeColor="text1"/>
                <w:sz w:val="21"/>
                <w:szCs w:val="21"/>
                <w:highlight w:val="none"/>
                <w14:textFill>
                  <w14:solidFill>
                    <w14:schemeClr w14:val="tx1"/>
                  </w14:solidFill>
                </w14:textFill>
              </w:rPr>
              <w:t>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日</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生产废水</w:t>
            </w:r>
            <w:r>
              <w:rPr>
                <w:rFonts w:hint="default" w:ascii="Times New Roman" w:hAnsi="Times New Roman" w:eastAsia="宋体" w:cs="Times New Roman"/>
                <w:color w:val="000000" w:themeColor="text1"/>
                <w:sz w:val="21"/>
                <w:szCs w:val="21"/>
                <w:highlight w:val="none"/>
                <w14:textFill>
                  <w14:solidFill>
                    <w14:schemeClr w14:val="tx1"/>
                  </w14:solidFill>
                </w14:textFill>
              </w:rPr>
              <w:t>每次转移量约为</w:t>
            </w:r>
            <w:r>
              <w:rPr>
                <w:rFonts w:hint="eastAsia" w:cs="Times New Roman"/>
                <w:color w:val="000000" w:themeColor="text1"/>
                <w:sz w:val="21"/>
                <w:szCs w:val="21"/>
                <w:highlight w:val="none"/>
                <w:lang w:val="en-US" w:eastAsia="zh-CN"/>
                <w14:textFill>
                  <w14:solidFill>
                    <w14:schemeClr w14:val="tx1"/>
                  </w14:solidFill>
                </w14:textFill>
              </w:rPr>
              <w:t>21.24t/a（0.0708t/d）</w:t>
            </w:r>
            <w:r>
              <w:rPr>
                <w:rFonts w:hint="default" w:ascii="Times New Roman" w:hAnsi="Times New Roman" w:eastAsia="宋体" w:cs="Times New Roman"/>
                <w:color w:val="000000" w:themeColor="text1"/>
                <w:sz w:val="21"/>
                <w:szCs w:val="21"/>
                <w:highlight w:val="none"/>
                <w14:textFill>
                  <w14:solidFill>
                    <w14:schemeClr w14:val="tx1"/>
                  </w14:solidFill>
                </w14:textFill>
              </w:rPr>
              <w:t>，约占日处理余量的</w:t>
            </w:r>
            <w:r>
              <w:rPr>
                <w:rFonts w:hint="eastAsia" w:cs="Times New Roman"/>
                <w:color w:val="000000" w:themeColor="text1"/>
                <w:sz w:val="21"/>
                <w:szCs w:val="21"/>
                <w:highlight w:val="none"/>
                <w:lang w:val="en-US" w:eastAsia="zh-CN"/>
                <w14:textFill>
                  <w14:solidFill>
                    <w14:schemeClr w14:val="tx1"/>
                  </w14:solidFill>
                </w14:textFill>
              </w:rPr>
              <w:t>0.0098</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因此对于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生产废水</w:t>
            </w:r>
            <w:r>
              <w:rPr>
                <w:rFonts w:hint="default" w:ascii="Times New Roman" w:hAnsi="Times New Roman" w:eastAsia="宋体" w:cs="Times New Roman"/>
                <w:color w:val="000000" w:themeColor="text1"/>
                <w:sz w:val="21"/>
                <w:szCs w:val="21"/>
                <w:highlight w:val="none"/>
                <w14:textFill>
                  <w14:solidFill>
                    <w14:schemeClr w14:val="tx1"/>
                  </w14:solidFill>
                </w14:textFill>
              </w:rPr>
              <w:t>采取集中收集后委托给有处理能力的废水处理机构是可行的</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p w14:paraId="28B7CB00">
            <w:pPr>
              <w:pStyle w:val="87"/>
              <w:keepNext w:val="0"/>
              <w:keepLines w:val="0"/>
              <w:pageBreakBefore w:val="0"/>
              <w:widowControl w:val="0"/>
              <w:tabs>
                <w:tab w:val="left" w:pos="1685"/>
              </w:tabs>
              <w:kinsoku/>
              <w:wordWrap/>
              <w:overflowPunct/>
              <w:topLinePunct w:val="0"/>
              <w:autoSpaceDE/>
              <w:autoSpaceDN/>
              <w:bidi w:val="0"/>
              <w:adjustRightInd/>
              <w:spacing w:line="360" w:lineRule="auto"/>
              <w:ind w:firstLine="42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中山市南朗镇水务有限公司规划总面积50亩，设计处理能力为每日3万吨。一期工程自2007年12月动工建设，于2009年6月建成并投产运营，投资额为5910万元，采用CASS除磷脱氮污水处理工艺。二期工程建设内容为新增生产构筑物：沉砂池、CASS池、消毒渠，改扩建构筑物：进水泵房、鼓风机房、脱水机房电气设备改造安装、市政道路等，投资额为1690万元。服务范围包括南朗镇中心区、第一工业区部分区域、第二工业区、第三工业区、大车工业区、北部工业组团、横门麻东、麻西村等，本项目所在区域在中山市南朗镇水务有限公司集污范围内，因此，该项目生活污水可以排到中山市南朗镇水务有限公司处理。本项目生活污水产生量（</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180</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t/a，</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0.6</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t/d）约占一期、二期设计处理能力的0.0</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%，占比很小，不会对中山市南朗镇水务有限公司水量、水质负荷造成冲击，因此，本项目生活污水经化粪池预处理后排入中山市南朗镇水务有限公司处理是可行的，不会对附近的水环境质量造成明显影响。</w:t>
            </w:r>
          </w:p>
          <w:p w14:paraId="1B26C62D">
            <w:pPr>
              <w:pStyle w:val="32"/>
              <w:spacing w:after="0" w:line="360" w:lineRule="auto"/>
              <w:ind w:left="0" w:left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（2）废水类别、污染物及污染治理设施信息表</w:t>
            </w:r>
          </w:p>
          <w:p w14:paraId="2F708D0B">
            <w:pPr>
              <w:widowControl/>
              <w:numPr>
                <w:ilvl w:val="0"/>
                <w:numId w:val="0"/>
              </w:numPr>
              <w:spacing w:line="360" w:lineRule="auto"/>
              <w:contextualSpacing/>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w:t>
            </w:r>
            <w:r>
              <w:rPr>
                <w:rFonts w:hint="eastAsia" w:cs="Times New Roman"/>
                <w:b/>
                <w:bCs/>
                <w:color w:val="000000" w:themeColor="text1"/>
                <w:sz w:val="24"/>
                <w:szCs w:val="24"/>
                <w:highlight w:val="none"/>
                <w:lang w:val="en-US" w:eastAsia="zh-CN"/>
                <w14:textFill>
                  <w14:solidFill>
                    <w14:schemeClr w14:val="tx1"/>
                  </w14:solidFill>
                </w14:textFill>
              </w:rPr>
              <w:t>33</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废水类别、污染物及污染治理设施信息表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809"/>
              <w:gridCol w:w="705"/>
              <w:gridCol w:w="840"/>
              <w:gridCol w:w="858"/>
              <w:gridCol w:w="753"/>
              <w:gridCol w:w="640"/>
              <w:gridCol w:w="881"/>
              <w:gridCol w:w="660"/>
              <w:gridCol w:w="1323"/>
            </w:tblGrid>
            <w:tr w14:paraId="0D47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805" w:type="dxa"/>
                  <w:vMerge w:val="restart"/>
                  <w:noWrap w:val="0"/>
                  <w:vAlign w:val="center"/>
                </w:tcPr>
                <w:p w14:paraId="45C545F6">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废水类别</w:t>
                  </w:r>
                </w:p>
              </w:tc>
              <w:tc>
                <w:tcPr>
                  <w:tcW w:w="795" w:type="dxa"/>
                  <w:vMerge w:val="restart"/>
                  <w:noWrap w:val="0"/>
                  <w:vAlign w:val="center"/>
                </w:tcPr>
                <w:p w14:paraId="0C5B266B">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污染物种类</w:t>
                  </w:r>
                </w:p>
              </w:tc>
              <w:tc>
                <w:tcPr>
                  <w:tcW w:w="705" w:type="dxa"/>
                  <w:vMerge w:val="restart"/>
                  <w:noWrap w:val="0"/>
                  <w:vAlign w:val="center"/>
                </w:tcPr>
                <w:p w14:paraId="5149347F">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排放去向</w:t>
                  </w:r>
                </w:p>
              </w:tc>
              <w:tc>
                <w:tcPr>
                  <w:tcW w:w="840" w:type="dxa"/>
                  <w:vMerge w:val="restart"/>
                  <w:noWrap w:val="0"/>
                  <w:vAlign w:val="center"/>
                </w:tcPr>
                <w:p w14:paraId="059C3F33">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排放规律</w:t>
                  </w:r>
                </w:p>
              </w:tc>
              <w:tc>
                <w:tcPr>
                  <w:tcW w:w="2068" w:type="dxa"/>
                  <w:gridSpan w:val="3"/>
                  <w:noWrap w:val="0"/>
                  <w:vAlign w:val="center"/>
                </w:tcPr>
                <w:p w14:paraId="0AEB4AB0">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污染治理设施</w:t>
                  </w:r>
                </w:p>
              </w:tc>
              <w:tc>
                <w:tcPr>
                  <w:tcW w:w="410" w:type="dxa"/>
                  <w:vMerge w:val="restart"/>
                  <w:noWrap w:val="0"/>
                  <w:vAlign w:val="center"/>
                </w:tcPr>
                <w:p w14:paraId="55DA83E0">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排放口编号</w:t>
                  </w:r>
                </w:p>
              </w:tc>
              <w:tc>
                <w:tcPr>
                  <w:tcW w:w="660" w:type="dxa"/>
                  <w:vMerge w:val="restart"/>
                  <w:noWrap w:val="0"/>
                  <w:vAlign w:val="center"/>
                </w:tcPr>
                <w:p w14:paraId="63F58420">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排放口设置是否符合要求</w:t>
                  </w:r>
                </w:p>
              </w:tc>
              <w:tc>
                <w:tcPr>
                  <w:tcW w:w="1323" w:type="dxa"/>
                  <w:vMerge w:val="restart"/>
                  <w:noWrap w:val="0"/>
                  <w:vAlign w:val="center"/>
                </w:tcPr>
                <w:p w14:paraId="6EDF6197">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排放口类型</w:t>
                  </w:r>
                </w:p>
              </w:tc>
            </w:tr>
            <w:tr w14:paraId="7591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5" w:type="dxa"/>
                  <w:vMerge w:val="continue"/>
                  <w:noWrap w:val="0"/>
                  <w:vAlign w:val="center"/>
                </w:tcPr>
                <w:p w14:paraId="28EAB1C1">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95" w:type="dxa"/>
                  <w:vMerge w:val="continue"/>
                  <w:noWrap w:val="0"/>
                  <w:vAlign w:val="center"/>
                </w:tcPr>
                <w:p w14:paraId="0AC42A9D">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05" w:type="dxa"/>
                  <w:vMerge w:val="continue"/>
                  <w:noWrap w:val="0"/>
                  <w:vAlign w:val="center"/>
                </w:tcPr>
                <w:p w14:paraId="029D503A">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0" w:type="dxa"/>
                  <w:vMerge w:val="continue"/>
                  <w:noWrap w:val="0"/>
                  <w:vAlign w:val="center"/>
                </w:tcPr>
                <w:p w14:paraId="4C99B841">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75" w:type="dxa"/>
                  <w:noWrap w:val="0"/>
                  <w:vAlign w:val="center"/>
                </w:tcPr>
                <w:p w14:paraId="6A62DBA8">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污染治理措施编号</w:t>
                  </w:r>
                </w:p>
              </w:tc>
              <w:tc>
                <w:tcPr>
                  <w:tcW w:w="753" w:type="dxa"/>
                  <w:noWrap w:val="0"/>
                  <w:vAlign w:val="center"/>
                </w:tcPr>
                <w:p w14:paraId="46BFFBF3">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污染治理设施名称</w:t>
                  </w:r>
                </w:p>
              </w:tc>
              <w:tc>
                <w:tcPr>
                  <w:tcW w:w="640" w:type="dxa"/>
                  <w:noWrap w:val="0"/>
                  <w:vAlign w:val="center"/>
                </w:tcPr>
                <w:p w14:paraId="7A96AC00">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污染治理设施工艺</w:t>
                  </w:r>
                </w:p>
              </w:tc>
              <w:tc>
                <w:tcPr>
                  <w:tcW w:w="410" w:type="dxa"/>
                  <w:vMerge w:val="continue"/>
                  <w:noWrap w:val="0"/>
                  <w:vAlign w:val="center"/>
                </w:tcPr>
                <w:p w14:paraId="03870706">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60" w:type="dxa"/>
                  <w:vMerge w:val="continue"/>
                  <w:noWrap w:val="0"/>
                  <w:vAlign w:val="center"/>
                </w:tcPr>
                <w:p w14:paraId="72CF0638">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23" w:type="dxa"/>
                  <w:vMerge w:val="continue"/>
                  <w:noWrap w:val="0"/>
                  <w:vAlign w:val="center"/>
                </w:tcPr>
                <w:p w14:paraId="5EBE9117">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7D4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5" w:type="dxa"/>
                  <w:noWrap w:val="0"/>
                  <w:vAlign w:val="center"/>
                </w:tcPr>
                <w:p w14:paraId="34039A82">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生活污水</w:t>
                  </w:r>
                </w:p>
              </w:tc>
              <w:tc>
                <w:tcPr>
                  <w:tcW w:w="795" w:type="dxa"/>
                  <w:noWrap w:val="0"/>
                  <w:vAlign w:val="center"/>
                </w:tcPr>
                <w:p w14:paraId="303E5FA8">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COD</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cr</w:t>
                  </w:r>
                </w:p>
                <w:p w14:paraId="159BFF9A">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BOD</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5</w:t>
                  </w:r>
                </w:p>
                <w:p w14:paraId="333F91C5">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SS</w:t>
                  </w:r>
                </w:p>
                <w:p w14:paraId="1CEB086A">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NH</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-N</w:t>
                  </w:r>
                </w:p>
                <w:p w14:paraId="6CFDC64E">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w:t>
                  </w:r>
                </w:p>
                <w:p w14:paraId="4B793CDF">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TP</w:t>
                  </w:r>
                </w:p>
              </w:tc>
              <w:tc>
                <w:tcPr>
                  <w:tcW w:w="705" w:type="dxa"/>
                  <w:noWrap w:val="0"/>
                  <w:vAlign w:val="center"/>
                </w:tcPr>
                <w:p w14:paraId="61D34E9A">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中山市南朗镇水务有限公司</w:t>
                  </w:r>
                </w:p>
              </w:tc>
              <w:tc>
                <w:tcPr>
                  <w:tcW w:w="840" w:type="dxa"/>
                  <w:noWrap w:val="0"/>
                  <w:vAlign w:val="center"/>
                </w:tcPr>
                <w:p w14:paraId="71466E0A">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间断排放，排放期间流量不稳定且无规律，但不属于冲击性排放</w:t>
                  </w:r>
                </w:p>
              </w:tc>
              <w:tc>
                <w:tcPr>
                  <w:tcW w:w="675" w:type="dxa"/>
                  <w:noWrap w:val="0"/>
                  <w:vAlign w:val="center"/>
                </w:tcPr>
                <w:p w14:paraId="0A8B7CFE">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TW001</w:t>
                  </w:r>
                </w:p>
              </w:tc>
              <w:tc>
                <w:tcPr>
                  <w:tcW w:w="753" w:type="dxa"/>
                  <w:noWrap w:val="0"/>
                  <w:vAlign w:val="center"/>
                </w:tcPr>
                <w:p w14:paraId="3F001BC7">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三级化粪池</w:t>
                  </w:r>
                </w:p>
              </w:tc>
              <w:tc>
                <w:tcPr>
                  <w:tcW w:w="640" w:type="dxa"/>
                  <w:noWrap w:val="0"/>
                  <w:vAlign w:val="center"/>
                </w:tcPr>
                <w:p w14:paraId="01D16867">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三级化粪池</w:t>
                  </w:r>
                </w:p>
              </w:tc>
              <w:tc>
                <w:tcPr>
                  <w:tcW w:w="410" w:type="dxa"/>
                  <w:noWrap w:val="0"/>
                  <w:vAlign w:val="center"/>
                </w:tcPr>
                <w:p w14:paraId="0D47D0C3">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DW001</w:t>
                  </w:r>
                </w:p>
              </w:tc>
              <w:tc>
                <w:tcPr>
                  <w:tcW w:w="660" w:type="dxa"/>
                  <w:noWrap w:val="0"/>
                  <w:vAlign w:val="center"/>
                </w:tcPr>
                <w:p w14:paraId="7D35A10F">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FE"/>
                  </w:r>
                  <w:r>
                    <w:rPr>
                      <w:rFonts w:hint="default" w:ascii="Times New Roman" w:hAnsi="Times New Roman" w:eastAsia="宋体" w:cs="Times New Roman"/>
                      <w:color w:val="000000" w:themeColor="text1"/>
                      <w:sz w:val="21"/>
                      <w:szCs w:val="21"/>
                      <w:highlight w:val="none"/>
                      <w14:textFill>
                        <w14:solidFill>
                          <w14:schemeClr w14:val="tx1"/>
                        </w14:solidFill>
                      </w14:textFill>
                    </w:rPr>
                    <w:t>是</w:t>
                  </w:r>
                </w:p>
                <w:p w14:paraId="341EB309">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否</w:t>
                  </w:r>
                </w:p>
              </w:tc>
              <w:tc>
                <w:tcPr>
                  <w:tcW w:w="1323" w:type="dxa"/>
                  <w:noWrap w:val="0"/>
                  <w:vAlign w:val="center"/>
                </w:tcPr>
                <w:p w14:paraId="0D37712C">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FE"/>
                  </w:r>
                  <w:r>
                    <w:rPr>
                      <w:rFonts w:hint="default" w:ascii="Times New Roman" w:hAnsi="Times New Roman" w:eastAsia="宋体" w:cs="Times New Roman"/>
                      <w:color w:val="000000" w:themeColor="text1"/>
                      <w:sz w:val="21"/>
                      <w:szCs w:val="21"/>
                      <w:highlight w:val="none"/>
                      <w14:textFill>
                        <w14:solidFill>
                          <w14:schemeClr w14:val="tx1"/>
                        </w14:solidFill>
                      </w14:textFill>
                    </w:rPr>
                    <w:t>企业总排</w:t>
                  </w:r>
                </w:p>
                <w:p w14:paraId="209C72EE">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雨水排放</w:t>
                  </w:r>
                </w:p>
                <w:p w14:paraId="1E3AC213">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清净下水排放</w:t>
                  </w:r>
                </w:p>
                <w:p w14:paraId="3A94E24C">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温排水排放</w:t>
                  </w:r>
                </w:p>
                <w:p w14:paraId="19E79DAF">
                  <w:pPr>
                    <w:pStyle w:val="3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车间或车间处理设施排放</w:t>
                  </w:r>
                </w:p>
              </w:tc>
            </w:tr>
            <w:tr w14:paraId="5AD0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noWrap w:val="0"/>
                  <w:vAlign w:val="center"/>
                </w:tcPr>
                <w:p w14:paraId="00B672E6">
                  <w:pPr>
                    <w:pStyle w:val="32"/>
                    <w:spacing w:after="0"/>
                    <w:ind w:left="0" w:leftChars="0" w:firstLine="0" w:firstLineChars="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水</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喷淋废水</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w:t>
                  </w:r>
                </w:p>
                <w:p w14:paraId="75CF6BB3">
                  <w:pPr>
                    <w:pStyle w:val="32"/>
                    <w:spacing w:after="0"/>
                    <w:ind w:left="0" w:leftChars="0" w:firstLine="0" w:firstLine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抛光废水</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、研磨废水</w:t>
                  </w:r>
                </w:p>
              </w:tc>
              <w:tc>
                <w:tcPr>
                  <w:tcW w:w="795" w:type="dxa"/>
                  <w:noWrap w:val="0"/>
                  <w:vAlign w:val="center"/>
                </w:tcPr>
                <w:p w14:paraId="0D9DD23C">
                  <w:pPr>
                    <w:snapToGrid w:val="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pH</w:t>
                  </w:r>
                </w:p>
                <w:p w14:paraId="6138A2A9">
                  <w:pPr>
                    <w:pStyle w:val="48"/>
                    <w:jc w:val="center"/>
                    <w:rPr>
                      <w:rFonts w:hint="default" w:ascii="Times New Roman" w:hAnsi="Times New Roman" w:eastAsia="宋体" w:cs="Times New Roman"/>
                      <w:b w:val="0"/>
                      <w:bCs w:val="0"/>
                      <w:color w:val="000000" w:themeColor="text1"/>
                      <w:kern w:val="0"/>
                      <w:sz w:val="21"/>
                      <w:szCs w:val="21"/>
                      <w:highlight w:val="none"/>
                      <w:vertAlign w:val="subscript"/>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COD</w:t>
                  </w:r>
                  <w:r>
                    <w:rPr>
                      <w:rFonts w:hint="default" w:ascii="Times New Roman" w:hAnsi="Times New Roman" w:eastAsia="宋体" w:cs="Times New Roman"/>
                      <w:b w:val="0"/>
                      <w:bCs w:val="0"/>
                      <w:color w:val="000000" w:themeColor="text1"/>
                      <w:kern w:val="0"/>
                      <w:sz w:val="21"/>
                      <w:szCs w:val="21"/>
                      <w:highlight w:val="none"/>
                      <w:vertAlign w:val="subscript"/>
                      <w:lang w:val="en-US" w:eastAsia="zh-CN" w:bidi="ar-SA"/>
                      <w14:textFill>
                        <w14:solidFill>
                          <w14:schemeClr w14:val="tx1"/>
                        </w14:solidFill>
                      </w14:textFill>
                    </w:rPr>
                    <w:t>cr</w:t>
                  </w:r>
                </w:p>
                <w:p w14:paraId="13F6CD9D">
                  <w:pPr>
                    <w:pStyle w:val="48"/>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BOD</w:t>
                  </w:r>
                  <w:r>
                    <w:rPr>
                      <w:rFonts w:hint="default" w:ascii="Times New Roman" w:hAnsi="Times New Roman" w:eastAsia="宋体" w:cs="Times New Roman"/>
                      <w:b w:val="0"/>
                      <w:bCs w:val="0"/>
                      <w:color w:val="000000" w:themeColor="text1"/>
                      <w:kern w:val="0"/>
                      <w:sz w:val="21"/>
                      <w:szCs w:val="21"/>
                      <w:highlight w:val="none"/>
                      <w:vertAlign w:val="subscript"/>
                      <w:lang w:val="en-US" w:eastAsia="zh-CN" w:bidi="ar-SA"/>
                      <w14:textFill>
                        <w14:solidFill>
                          <w14:schemeClr w14:val="tx1"/>
                        </w14:solidFill>
                      </w14:textFill>
                    </w:rPr>
                    <w:t>5</w:t>
                  </w:r>
                </w:p>
                <w:p w14:paraId="795A5705">
                  <w:pPr>
                    <w:snapToGrid w:val="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SS</w:t>
                  </w:r>
                </w:p>
                <w:p w14:paraId="5BA7FC99">
                  <w:pPr>
                    <w:pStyle w:val="48"/>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氨氮</w:t>
                  </w:r>
                </w:p>
                <w:p w14:paraId="7896F6F8">
                  <w:pPr>
                    <w:pStyle w:val="48"/>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色度</w:t>
                  </w:r>
                </w:p>
                <w:p w14:paraId="684DA268">
                  <w:pPr>
                    <w:rPr>
                      <w:rFonts w:hint="eastAsia"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石油类</w:t>
                  </w:r>
                </w:p>
                <w:p w14:paraId="508FAE4E">
                  <w:pPr>
                    <w:pStyle w:val="48"/>
                    <w:rPr>
                      <w:rFonts w:hint="default"/>
                      <w:color w:val="000000" w:themeColor="text1"/>
                      <w:lang w:val="en-US" w:eastAsia="zh-CN"/>
                      <w14:textFill>
                        <w14:solidFill>
                          <w14:schemeClr w14:val="tx1"/>
                        </w14:solidFill>
                      </w14:textFill>
                    </w:rPr>
                  </w:pPr>
                  <w:r>
                    <w:rPr>
                      <w:rFonts w:hint="eastAsia" w:ascii="Times New Roman" w:cs="Times New Roman"/>
                      <w:b w:val="0"/>
                      <w:bCs w:val="0"/>
                      <w:color w:val="000000" w:themeColor="text1"/>
                      <w:kern w:val="0"/>
                      <w:sz w:val="21"/>
                      <w:szCs w:val="21"/>
                      <w:highlight w:val="none"/>
                      <w:lang w:val="en-US" w:eastAsia="zh-CN" w:bidi="ar-SA"/>
                      <w14:textFill>
                        <w14:solidFill>
                          <w14:schemeClr w14:val="tx1"/>
                        </w14:solidFill>
                      </w14:textFill>
                    </w:rPr>
                    <w:t>LAS</w:t>
                  </w:r>
                </w:p>
              </w:tc>
              <w:tc>
                <w:tcPr>
                  <w:tcW w:w="705" w:type="dxa"/>
                  <w:noWrap w:val="0"/>
                  <w:vAlign w:val="center"/>
                </w:tcPr>
                <w:p w14:paraId="5C70367A">
                  <w:pPr>
                    <w:pStyle w:val="32"/>
                    <w:spacing w:after="0"/>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委托给有处理能力的废水处理机构</w:t>
                  </w:r>
                </w:p>
              </w:tc>
              <w:tc>
                <w:tcPr>
                  <w:tcW w:w="840" w:type="dxa"/>
                  <w:noWrap w:val="0"/>
                  <w:vAlign w:val="center"/>
                </w:tcPr>
                <w:p w14:paraId="0DA4680D">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w:t>
                  </w:r>
                </w:p>
              </w:tc>
              <w:tc>
                <w:tcPr>
                  <w:tcW w:w="675" w:type="dxa"/>
                  <w:noWrap w:val="0"/>
                  <w:vAlign w:val="center"/>
                </w:tcPr>
                <w:p w14:paraId="706D6DFA">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w:t>
                  </w:r>
                </w:p>
              </w:tc>
              <w:tc>
                <w:tcPr>
                  <w:tcW w:w="753" w:type="dxa"/>
                  <w:noWrap w:val="0"/>
                  <w:vAlign w:val="center"/>
                </w:tcPr>
                <w:p w14:paraId="38D2B7B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w:t>
                  </w:r>
                </w:p>
              </w:tc>
              <w:tc>
                <w:tcPr>
                  <w:tcW w:w="640" w:type="dxa"/>
                  <w:noWrap w:val="0"/>
                  <w:vAlign w:val="center"/>
                </w:tcPr>
                <w:p w14:paraId="48A894C2">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w:t>
                  </w:r>
                </w:p>
              </w:tc>
              <w:tc>
                <w:tcPr>
                  <w:tcW w:w="410" w:type="dxa"/>
                  <w:noWrap w:val="0"/>
                  <w:vAlign w:val="center"/>
                </w:tcPr>
                <w:p w14:paraId="3AA50EFE">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w:t>
                  </w:r>
                </w:p>
              </w:tc>
              <w:tc>
                <w:tcPr>
                  <w:tcW w:w="660" w:type="dxa"/>
                  <w:noWrap w:val="0"/>
                  <w:vAlign w:val="center"/>
                </w:tcPr>
                <w:p w14:paraId="7EF3B8B4">
                  <w:pPr>
                    <w:pStyle w:val="32"/>
                    <w:spacing w:after="0"/>
                    <w:ind w:left="0" w:leftChars="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是</w:t>
                  </w:r>
                </w:p>
                <w:p w14:paraId="026627D2">
                  <w:pPr>
                    <w:pStyle w:val="32"/>
                    <w:spacing w:after="0"/>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否</w:t>
                  </w:r>
                </w:p>
              </w:tc>
              <w:tc>
                <w:tcPr>
                  <w:tcW w:w="1323" w:type="dxa"/>
                  <w:noWrap w:val="0"/>
                  <w:vAlign w:val="center"/>
                </w:tcPr>
                <w:p w14:paraId="3E0DEC8D">
                  <w:pPr>
                    <w:pStyle w:val="32"/>
                    <w:spacing w:after="0"/>
                    <w:ind w:left="0" w:leftChars="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企业总排</w:t>
                  </w:r>
                </w:p>
                <w:p w14:paraId="25E3A488">
                  <w:pPr>
                    <w:pStyle w:val="32"/>
                    <w:spacing w:after="0"/>
                    <w:ind w:left="0" w:leftChars="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雨水排放</w:t>
                  </w:r>
                </w:p>
                <w:p w14:paraId="3BC5688C">
                  <w:pPr>
                    <w:pStyle w:val="32"/>
                    <w:spacing w:after="0"/>
                    <w:ind w:left="0" w:leftChars="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清净下水排放</w:t>
                  </w:r>
                </w:p>
                <w:p w14:paraId="0248BF15">
                  <w:pPr>
                    <w:pStyle w:val="32"/>
                    <w:spacing w:after="0"/>
                    <w:ind w:left="0" w:leftChars="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温排水排放</w:t>
                  </w:r>
                </w:p>
                <w:p w14:paraId="6AB14408">
                  <w:pPr>
                    <w:pStyle w:val="32"/>
                    <w:spacing w:after="0"/>
                    <w:ind w:left="0" w:lef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1"/>
                      <w:szCs w:val="21"/>
                      <w:highlight w:val="none"/>
                      <w14:textFill>
                        <w14:solidFill>
                          <w14:schemeClr w14:val="tx1"/>
                        </w14:solidFill>
                      </w14:textFill>
                    </w:rPr>
                    <w:t>车间或车间处理设施排放</w:t>
                  </w:r>
                </w:p>
              </w:tc>
            </w:tr>
          </w:tbl>
          <w:p w14:paraId="7FA4767E">
            <w:pPr>
              <w:widowControl/>
              <w:numPr>
                <w:ilvl w:val="0"/>
                <w:numId w:val="0"/>
              </w:numPr>
              <w:spacing w:line="360" w:lineRule="auto"/>
              <w:contextualSpacing/>
              <w:jc w:val="both"/>
              <w:rPr>
                <w:rFonts w:hint="default" w:ascii="Times New Roman" w:hAnsi="Times New Roman" w:eastAsia="宋体" w:cs="Times New Roman"/>
                <w:b/>
                <w:bCs/>
                <w:color w:val="000000" w:themeColor="text1"/>
                <w:szCs w:val="21"/>
                <w:highlight w:val="yellow"/>
                <w:lang w:val="en-US" w:eastAsia="zh-CN"/>
                <w14:textFill>
                  <w14:solidFill>
                    <w14:schemeClr w14:val="tx1"/>
                  </w14:solidFill>
                </w14:textFill>
              </w:rPr>
            </w:pPr>
          </w:p>
          <w:p w14:paraId="4F134356">
            <w:pPr>
              <w:widowControl/>
              <w:numPr>
                <w:ilvl w:val="0"/>
                <w:numId w:val="0"/>
              </w:numPr>
              <w:spacing w:line="360" w:lineRule="auto"/>
              <w:contextualSpacing/>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eastAsia"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废水间接排放口基本情况</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914"/>
              <w:gridCol w:w="462"/>
              <w:gridCol w:w="462"/>
              <w:gridCol w:w="817"/>
              <w:gridCol w:w="623"/>
              <w:gridCol w:w="956"/>
              <w:gridCol w:w="1435"/>
              <w:gridCol w:w="623"/>
              <w:gridCol w:w="809"/>
              <w:gridCol w:w="943"/>
            </w:tblGrid>
            <w:tr w14:paraId="1CCD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3" w:hRule="atLeast"/>
                <w:tblHeader/>
                <w:jc w:val="center"/>
              </w:trPr>
              <w:tc>
                <w:tcPr>
                  <w:tcW w:w="0" w:type="auto"/>
                  <w:vMerge w:val="restart"/>
                  <w:noWrap w:val="0"/>
                  <w:vAlign w:val="center"/>
                </w:tcPr>
                <w:p w14:paraId="38E70D61">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0" w:type="auto"/>
                  <w:vMerge w:val="restart"/>
                  <w:noWrap w:val="0"/>
                  <w:vAlign w:val="center"/>
                </w:tcPr>
                <w:p w14:paraId="39176CA8">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排放口编号</w:t>
                  </w:r>
                </w:p>
              </w:tc>
              <w:tc>
                <w:tcPr>
                  <w:tcW w:w="0" w:type="auto"/>
                  <w:gridSpan w:val="2"/>
                  <w:noWrap w:val="0"/>
                  <w:vAlign w:val="center"/>
                </w:tcPr>
                <w:p w14:paraId="2D6F4F98">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排放口地理坐标</w:t>
                  </w:r>
                </w:p>
              </w:tc>
              <w:tc>
                <w:tcPr>
                  <w:tcW w:w="0" w:type="auto"/>
                  <w:vMerge w:val="restart"/>
                  <w:noWrap w:val="0"/>
                  <w:vAlign w:val="center"/>
                </w:tcPr>
                <w:p w14:paraId="638C977B">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废水排放量/（万t/a）</w:t>
                  </w:r>
                </w:p>
              </w:tc>
              <w:tc>
                <w:tcPr>
                  <w:tcW w:w="0" w:type="auto"/>
                  <w:vMerge w:val="restart"/>
                  <w:noWrap w:val="0"/>
                  <w:vAlign w:val="center"/>
                </w:tcPr>
                <w:p w14:paraId="65E3260B">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排放去向</w:t>
                  </w:r>
                </w:p>
              </w:tc>
              <w:tc>
                <w:tcPr>
                  <w:tcW w:w="0" w:type="auto"/>
                  <w:vMerge w:val="restart"/>
                  <w:noWrap w:val="0"/>
                  <w:vAlign w:val="center"/>
                </w:tcPr>
                <w:p w14:paraId="2D34D0FB">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排放规律</w:t>
                  </w:r>
                </w:p>
              </w:tc>
              <w:tc>
                <w:tcPr>
                  <w:tcW w:w="0" w:type="auto"/>
                  <w:vMerge w:val="restart"/>
                  <w:noWrap w:val="0"/>
                  <w:vAlign w:val="center"/>
                </w:tcPr>
                <w:p w14:paraId="05F60C02">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间歇排放时段</w:t>
                  </w:r>
                </w:p>
              </w:tc>
              <w:tc>
                <w:tcPr>
                  <w:tcW w:w="0" w:type="auto"/>
                  <w:gridSpan w:val="3"/>
                  <w:noWrap w:val="0"/>
                  <w:vAlign w:val="center"/>
                </w:tcPr>
                <w:p w14:paraId="2C8122FA">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受纳污水处理厂信息</w:t>
                  </w:r>
                </w:p>
              </w:tc>
            </w:tr>
            <w:tr w14:paraId="6A59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0" w:type="auto"/>
                  <w:vMerge w:val="continue"/>
                  <w:noWrap w:val="0"/>
                  <w:vAlign w:val="center"/>
                </w:tcPr>
                <w:p w14:paraId="57358265">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0" w:type="auto"/>
                  <w:vMerge w:val="continue"/>
                  <w:noWrap w:val="0"/>
                  <w:vAlign w:val="center"/>
                </w:tcPr>
                <w:p w14:paraId="4D38DA07">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0" w:type="auto"/>
                  <w:noWrap w:val="0"/>
                  <w:vAlign w:val="center"/>
                </w:tcPr>
                <w:p w14:paraId="159B301C">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经度</w:t>
                  </w:r>
                </w:p>
              </w:tc>
              <w:tc>
                <w:tcPr>
                  <w:tcW w:w="0" w:type="auto"/>
                  <w:noWrap w:val="0"/>
                  <w:vAlign w:val="center"/>
                </w:tcPr>
                <w:p w14:paraId="77C6FE72">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纬度</w:t>
                  </w:r>
                </w:p>
              </w:tc>
              <w:tc>
                <w:tcPr>
                  <w:tcW w:w="0" w:type="auto"/>
                  <w:vMerge w:val="continue"/>
                  <w:noWrap w:val="0"/>
                  <w:vAlign w:val="center"/>
                </w:tcPr>
                <w:p w14:paraId="634C8E15">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0" w:type="auto"/>
                  <w:vMerge w:val="continue"/>
                  <w:noWrap w:val="0"/>
                  <w:vAlign w:val="center"/>
                </w:tcPr>
                <w:p w14:paraId="42521D57">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0" w:type="auto"/>
                  <w:vMerge w:val="continue"/>
                  <w:noWrap w:val="0"/>
                  <w:vAlign w:val="center"/>
                </w:tcPr>
                <w:p w14:paraId="16324120">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0" w:type="auto"/>
                  <w:vMerge w:val="continue"/>
                  <w:noWrap w:val="0"/>
                  <w:vAlign w:val="center"/>
                </w:tcPr>
                <w:p w14:paraId="7BE61461">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0" w:type="auto"/>
                  <w:noWrap w:val="0"/>
                  <w:vAlign w:val="center"/>
                </w:tcPr>
                <w:p w14:paraId="4C4E2D01">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0" w:type="auto"/>
                  <w:noWrap w:val="0"/>
                  <w:vAlign w:val="center"/>
                </w:tcPr>
                <w:p w14:paraId="1BAF3AFF">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污染物种类</w:t>
                  </w:r>
                </w:p>
              </w:tc>
              <w:tc>
                <w:tcPr>
                  <w:tcW w:w="0" w:type="auto"/>
                  <w:noWrap w:val="0"/>
                  <w:vAlign w:val="center"/>
                </w:tcPr>
                <w:p w14:paraId="2E68AFE6">
                  <w:pPr>
                    <w:pStyle w:val="70"/>
                    <w:keepNext w:val="0"/>
                    <w:keepLines w:val="0"/>
                    <w:pageBreakBefore w:val="0"/>
                    <w:widowControl/>
                    <w:shd w:val="clear"/>
                    <w:kinsoku/>
                    <w:wordWrap w:val="0"/>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国家或地方污染物排放标准浓度限值/(mg/L)</w:t>
                  </w:r>
                </w:p>
              </w:tc>
            </w:tr>
            <w:tr w14:paraId="72BE1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0" w:type="auto"/>
                  <w:vMerge w:val="restart"/>
                  <w:noWrap w:val="0"/>
                  <w:vAlign w:val="center"/>
                </w:tcPr>
                <w:p w14:paraId="6F88BB0E">
                  <w:pPr>
                    <w:pStyle w:val="70"/>
                    <w:keepNext w:val="0"/>
                    <w:keepLines w:val="0"/>
                    <w:pageBreakBefore w:val="0"/>
                    <w:widowControl/>
                    <w:shd w:val="clear"/>
                    <w:kinsoku/>
                    <w:wordWrap/>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p>
              </w:tc>
              <w:tc>
                <w:tcPr>
                  <w:tcW w:w="0" w:type="auto"/>
                  <w:vMerge w:val="restart"/>
                  <w:noWrap w:val="0"/>
                  <w:vAlign w:val="center"/>
                </w:tcPr>
                <w:p w14:paraId="2EDCF16A">
                  <w:pPr>
                    <w:pStyle w:val="70"/>
                    <w:keepNext w:val="0"/>
                    <w:keepLines w:val="0"/>
                    <w:pageBreakBefore w:val="0"/>
                    <w:widowControl/>
                    <w:shd w:val="clear"/>
                    <w:kinsoku/>
                    <w:wordWrap/>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DW001</w:t>
                  </w:r>
                </w:p>
              </w:tc>
              <w:tc>
                <w:tcPr>
                  <w:tcW w:w="0" w:type="auto"/>
                  <w:vMerge w:val="restart"/>
                  <w:noWrap w:val="0"/>
                  <w:vAlign w:val="center"/>
                </w:tcPr>
                <w:p w14:paraId="6E2205BC">
                  <w:pPr>
                    <w:pStyle w:val="70"/>
                    <w:keepNext w:val="0"/>
                    <w:keepLines w:val="0"/>
                    <w:pageBreakBefore w:val="0"/>
                    <w:widowControl/>
                    <w:shd w:val="clear"/>
                    <w:kinsoku/>
                    <w:wordWrap/>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0" w:type="auto"/>
                  <w:vMerge w:val="restart"/>
                  <w:noWrap w:val="0"/>
                  <w:vAlign w:val="center"/>
                </w:tcPr>
                <w:p w14:paraId="74DDC242">
                  <w:pPr>
                    <w:pStyle w:val="70"/>
                    <w:keepNext w:val="0"/>
                    <w:keepLines w:val="0"/>
                    <w:pageBreakBefore w:val="0"/>
                    <w:widowControl/>
                    <w:shd w:val="clear"/>
                    <w:kinsoku/>
                    <w:wordWrap/>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0" w:type="auto"/>
                  <w:vMerge w:val="restart"/>
                  <w:noWrap w:val="0"/>
                  <w:vAlign w:val="center"/>
                </w:tcPr>
                <w:p w14:paraId="70E9DF3F">
                  <w:pPr>
                    <w:pStyle w:val="70"/>
                    <w:keepNext w:val="0"/>
                    <w:keepLines w:val="0"/>
                    <w:pageBreakBefore w:val="0"/>
                    <w:widowControl/>
                    <w:shd w:val="clear"/>
                    <w:kinsoku/>
                    <w:wordWrap/>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0.018</w:t>
                  </w:r>
                </w:p>
              </w:tc>
              <w:tc>
                <w:tcPr>
                  <w:tcW w:w="0" w:type="auto"/>
                  <w:vMerge w:val="restart"/>
                  <w:noWrap w:val="0"/>
                  <w:vAlign w:val="center"/>
                </w:tcPr>
                <w:p w14:paraId="1B6E8BF1">
                  <w:pPr>
                    <w:pStyle w:val="70"/>
                    <w:keepNext w:val="0"/>
                    <w:keepLines w:val="0"/>
                    <w:pageBreakBefore w:val="0"/>
                    <w:widowControl/>
                    <w:shd w:val="clear"/>
                    <w:kinsoku/>
                    <w:wordWrap/>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中山市南朗镇水务有限公司</w:t>
                  </w:r>
                </w:p>
              </w:tc>
              <w:tc>
                <w:tcPr>
                  <w:tcW w:w="0" w:type="auto"/>
                  <w:vMerge w:val="restart"/>
                  <w:noWrap w:val="0"/>
                  <w:vAlign w:val="center"/>
                </w:tcPr>
                <w:p w14:paraId="6911D257">
                  <w:pPr>
                    <w:pStyle w:val="70"/>
                    <w:keepNext w:val="0"/>
                    <w:keepLines w:val="0"/>
                    <w:pageBreakBefore w:val="0"/>
                    <w:widowControl/>
                    <w:shd w:val="clear"/>
                    <w:kinsoku/>
                    <w:wordWrap/>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间断排放，流量不稳定，但不属于冲击性排放</w:t>
                  </w:r>
                </w:p>
              </w:tc>
              <w:tc>
                <w:tcPr>
                  <w:tcW w:w="0" w:type="auto"/>
                  <w:vMerge w:val="restart"/>
                  <w:noWrap w:val="0"/>
                  <w:vAlign w:val="center"/>
                </w:tcPr>
                <w:p w14:paraId="4EA34716">
                  <w:pPr>
                    <w:pStyle w:val="70"/>
                    <w:keepNext w:val="0"/>
                    <w:keepLines w:val="0"/>
                    <w:pageBreakBefore w:val="0"/>
                    <w:widowControl/>
                    <w:shd w:val="clear"/>
                    <w:kinsoku/>
                    <w:wordWrap/>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en-US"/>
                      <w14:textFill>
                        <w14:solidFill>
                          <w14:schemeClr w14:val="tx1"/>
                        </w14:solidFill>
                      </w14:textFill>
                    </w:rPr>
                    <w:t>8:00-12:00，1</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en-US"/>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en-US"/>
                      <w14:textFill>
                        <w14:solidFill>
                          <w14:schemeClr w14:val="tx1"/>
                        </w14:solidFill>
                      </w14:textFill>
                    </w:rPr>
                    <w:t>0-1</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val="en-US" w:eastAsia="en-US"/>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en-US"/>
                      <w14:textFill>
                        <w14:solidFill>
                          <w14:schemeClr w14:val="tx1"/>
                        </w14:solidFill>
                      </w14:textFill>
                    </w:rPr>
                    <w:t>0</w:t>
                  </w:r>
                </w:p>
              </w:tc>
              <w:tc>
                <w:tcPr>
                  <w:tcW w:w="0" w:type="auto"/>
                  <w:vMerge w:val="restart"/>
                  <w:noWrap w:val="0"/>
                  <w:vAlign w:val="center"/>
                </w:tcPr>
                <w:p w14:paraId="2F8675A9">
                  <w:pPr>
                    <w:pStyle w:val="70"/>
                    <w:keepNext w:val="0"/>
                    <w:keepLines w:val="0"/>
                    <w:pageBreakBefore w:val="0"/>
                    <w:widowControl/>
                    <w:shd w:val="clear"/>
                    <w:kinsoku/>
                    <w:wordWrap/>
                    <w:overflowPunct w:val="0"/>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中山市南朗镇水务有限公司</w:t>
                  </w:r>
                </w:p>
              </w:tc>
              <w:tc>
                <w:tcPr>
                  <w:tcW w:w="0" w:type="auto"/>
                  <w:noWrap w:val="0"/>
                  <w:vAlign w:val="center"/>
                </w:tcPr>
                <w:p w14:paraId="4710B8E5">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PH值</w:t>
                  </w:r>
                </w:p>
              </w:tc>
              <w:tc>
                <w:tcPr>
                  <w:tcW w:w="0" w:type="auto"/>
                  <w:noWrap w:val="0"/>
                  <w:vAlign w:val="center"/>
                </w:tcPr>
                <w:p w14:paraId="7B99EA3D">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6-9（无量纲）</w:t>
                  </w:r>
                </w:p>
              </w:tc>
            </w:tr>
            <w:tr w14:paraId="363F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0" w:type="auto"/>
                  <w:vMerge w:val="continue"/>
                  <w:noWrap w:val="0"/>
                  <w:vAlign w:val="center"/>
                </w:tcPr>
                <w:p w14:paraId="2939055F">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0" w:type="auto"/>
                  <w:vMerge w:val="continue"/>
                  <w:noWrap w:val="0"/>
                  <w:vAlign w:val="center"/>
                </w:tcPr>
                <w:p w14:paraId="4D0327D4">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0" w:type="auto"/>
                  <w:vMerge w:val="continue"/>
                  <w:noWrap w:val="0"/>
                  <w:vAlign w:val="center"/>
                </w:tcPr>
                <w:p w14:paraId="230A9959">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0" w:type="auto"/>
                  <w:vMerge w:val="continue"/>
                  <w:noWrap w:val="0"/>
                  <w:vAlign w:val="center"/>
                </w:tcPr>
                <w:p w14:paraId="7DF7E3CB">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0" w:type="auto"/>
                  <w:vMerge w:val="continue"/>
                  <w:noWrap w:val="0"/>
                  <w:vAlign w:val="center"/>
                </w:tcPr>
                <w:p w14:paraId="59681649">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0" w:type="auto"/>
                  <w:vMerge w:val="continue"/>
                  <w:noWrap w:val="0"/>
                  <w:vAlign w:val="center"/>
                </w:tcPr>
                <w:p w14:paraId="67652107">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0" w:type="auto"/>
                  <w:vMerge w:val="continue"/>
                  <w:noWrap w:val="0"/>
                  <w:vAlign w:val="center"/>
                </w:tcPr>
                <w:p w14:paraId="60B1DBEE">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0" w:type="auto"/>
                  <w:vMerge w:val="continue"/>
                  <w:noWrap w:val="0"/>
                  <w:vAlign w:val="center"/>
                </w:tcPr>
                <w:p w14:paraId="15809C53">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0" w:type="auto"/>
                  <w:vMerge w:val="continue"/>
                  <w:noWrap w:val="0"/>
                  <w:vAlign w:val="center"/>
                </w:tcPr>
                <w:p w14:paraId="051B7D6B">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0" w:type="auto"/>
                  <w:noWrap w:val="0"/>
                  <w:vAlign w:val="center"/>
                </w:tcPr>
                <w:p w14:paraId="3DF4D519">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COD</w:t>
                  </w:r>
                  <w:r>
                    <w:rPr>
                      <w:rFonts w:hint="default" w:ascii="Times New Roman" w:hAnsi="Times New Roman" w:eastAsia="宋体" w:cs="Times New Roman"/>
                      <w:color w:val="000000" w:themeColor="text1"/>
                      <w:kern w:val="0"/>
                      <w:sz w:val="21"/>
                      <w:szCs w:val="21"/>
                      <w:highlight w:val="none"/>
                      <w:vertAlign w:val="subscript"/>
                      <w:lang w:val="en-US" w:eastAsia="zh-CN" w:bidi="ar"/>
                      <w14:textFill>
                        <w14:solidFill>
                          <w14:schemeClr w14:val="tx1"/>
                        </w14:solidFill>
                      </w14:textFill>
                    </w:rPr>
                    <w:t>cr</w:t>
                  </w:r>
                </w:p>
              </w:tc>
              <w:tc>
                <w:tcPr>
                  <w:tcW w:w="0" w:type="auto"/>
                  <w:noWrap w:val="0"/>
                  <w:vAlign w:val="center"/>
                </w:tcPr>
                <w:p w14:paraId="7F0D88E4">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40</w:t>
                  </w:r>
                </w:p>
              </w:tc>
            </w:tr>
            <w:tr w14:paraId="7154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0" w:type="auto"/>
                  <w:vMerge w:val="continue"/>
                  <w:noWrap w:val="0"/>
                  <w:vAlign w:val="center"/>
                </w:tcPr>
                <w:p w14:paraId="1BC3BB6A">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045EE5A1">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5D47D665">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21E664C7">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56A7E320">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6B24300A">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5C4F3239">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41B4E5B7">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56159BEC">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noWrap w:val="0"/>
                  <w:vAlign w:val="center"/>
                </w:tcPr>
                <w:p w14:paraId="70FAE1AC">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BOD</w:t>
                  </w:r>
                  <w:r>
                    <w:rPr>
                      <w:rFonts w:hint="default" w:ascii="Times New Roman" w:hAnsi="Times New Roman" w:eastAsia="宋体" w:cs="Times New Roman"/>
                      <w:color w:val="000000" w:themeColor="text1"/>
                      <w:kern w:val="0"/>
                      <w:sz w:val="21"/>
                      <w:szCs w:val="21"/>
                      <w:highlight w:val="none"/>
                      <w:vertAlign w:val="subscript"/>
                      <w:lang w:val="en-US" w:eastAsia="zh-CN" w:bidi="ar"/>
                      <w14:textFill>
                        <w14:solidFill>
                          <w14:schemeClr w14:val="tx1"/>
                        </w14:solidFill>
                      </w14:textFill>
                    </w:rPr>
                    <w:t>5</w:t>
                  </w:r>
                </w:p>
              </w:tc>
              <w:tc>
                <w:tcPr>
                  <w:tcW w:w="0" w:type="auto"/>
                  <w:noWrap w:val="0"/>
                  <w:vAlign w:val="center"/>
                </w:tcPr>
                <w:p w14:paraId="664258F0">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54585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0" w:type="auto"/>
                  <w:vMerge w:val="continue"/>
                  <w:noWrap w:val="0"/>
                  <w:vAlign w:val="center"/>
                </w:tcPr>
                <w:p w14:paraId="55FBA218">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6AD7C25E">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4921E98C">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6E5982B6">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399A50C0">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5B154AA8">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22A54882">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65BB223A">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76A243F0">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noWrap w:val="0"/>
                  <w:vAlign w:val="center"/>
                </w:tcPr>
                <w:p w14:paraId="21501A8D">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SS</w:t>
                  </w:r>
                </w:p>
              </w:tc>
              <w:tc>
                <w:tcPr>
                  <w:tcW w:w="0" w:type="auto"/>
                  <w:noWrap w:val="0"/>
                  <w:vAlign w:val="center"/>
                </w:tcPr>
                <w:p w14:paraId="4D649FF4">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3217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0" w:type="auto"/>
                  <w:vMerge w:val="continue"/>
                  <w:noWrap w:val="0"/>
                  <w:vAlign w:val="center"/>
                </w:tcPr>
                <w:p w14:paraId="6C8AC845">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40A8F12D">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533D4734">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7DE7E27B">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2E5093A2">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3F086369">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768FBD7B">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361E76DD">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6CE78008">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noWrap w:val="0"/>
                  <w:vAlign w:val="center"/>
                </w:tcPr>
                <w:p w14:paraId="58B0711E">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氨氮</w:t>
                  </w:r>
                </w:p>
              </w:tc>
              <w:tc>
                <w:tcPr>
                  <w:tcW w:w="0" w:type="auto"/>
                  <w:noWrap w:val="0"/>
                  <w:vAlign w:val="center"/>
                </w:tcPr>
                <w:p w14:paraId="42C3DDA7">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r>
            <w:tr w14:paraId="0BD4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0" w:type="auto"/>
                  <w:vMerge w:val="continue"/>
                  <w:noWrap w:val="0"/>
                  <w:vAlign w:val="center"/>
                </w:tcPr>
                <w:p w14:paraId="14AEB286">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199C79B9">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5753CF8E">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61926770">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4C24037A">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78AF02A1">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567D6A9A">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1EF77E96">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vMerge w:val="continue"/>
                  <w:noWrap w:val="0"/>
                  <w:vAlign w:val="center"/>
                </w:tcPr>
                <w:p w14:paraId="68428392">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0" w:type="auto"/>
                  <w:noWrap w:val="0"/>
                  <w:vAlign w:val="center"/>
                </w:tcPr>
                <w:p w14:paraId="27EAB446">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Tp</w:t>
                  </w:r>
                </w:p>
              </w:tc>
              <w:tc>
                <w:tcPr>
                  <w:tcW w:w="0" w:type="auto"/>
                  <w:noWrap w:val="0"/>
                  <w:vAlign w:val="center"/>
                </w:tcPr>
                <w:p w14:paraId="110950C5">
                  <w:pPr>
                    <w:pStyle w:val="32"/>
                    <w:keepNext w:val="0"/>
                    <w:keepLines w:val="0"/>
                    <w:pageBreakBefore w:val="0"/>
                    <w:widowControl/>
                    <w:shd w:val="clear"/>
                    <w:kinsoku/>
                    <w:wordWrap/>
                    <w:overflowPunct w:val="0"/>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0.5</w:t>
                  </w:r>
                </w:p>
              </w:tc>
            </w:tr>
          </w:tbl>
          <w:p w14:paraId="021E3C7F">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p>
          <w:p w14:paraId="2F97E1C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center"/>
              <w:textAlignment w:val="auto"/>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表3</w:t>
            </w:r>
            <w:r>
              <w:rPr>
                <w:rFonts w:hint="eastAsia" w:cs="Times New Roman"/>
                <w:b/>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废水污染物排放执行标准</w:t>
            </w:r>
          </w:p>
          <w:tbl>
            <w:tblPr>
              <w:tblStyle w:val="33"/>
              <w:tblW w:w="68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1"/>
              <w:gridCol w:w="926"/>
              <w:gridCol w:w="1190"/>
              <w:gridCol w:w="1725"/>
              <w:gridCol w:w="2175"/>
            </w:tblGrid>
            <w:tr w14:paraId="6E2A3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jc w:val="center"/>
              </w:trPr>
              <w:tc>
                <w:tcPr>
                  <w:tcW w:w="88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5F115BB">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排放口编号</w:t>
                  </w:r>
                </w:p>
              </w:tc>
              <w:tc>
                <w:tcPr>
                  <w:tcW w:w="9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A7064C3">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污染物种类</w:t>
                  </w:r>
                </w:p>
              </w:tc>
              <w:tc>
                <w:tcPr>
                  <w:tcW w:w="5090"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1D838D68">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国家或地方污染物排放标准</w:t>
                  </w:r>
                </w:p>
              </w:tc>
            </w:tr>
            <w:tr w14:paraId="5FD07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88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7A2E54C">
                  <w:pPr>
                    <w:shd w:val="clear"/>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9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357C9F2">
                  <w:pPr>
                    <w:shd w:val="clear"/>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6B257559">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17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D79BA7">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浓度限值</w:t>
                  </w:r>
                </w:p>
              </w:tc>
              <w:tc>
                <w:tcPr>
                  <w:tcW w:w="21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A7E56A">
                  <w:pPr>
                    <w:keepNext/>
                    <w:keepLines w:val="0"/>
                    <w:pageBreakBefore/>
                    <w:widowControl w:val="0"/>
                    <w:suppressLineNumbers w:val="0"/>
                    <w:shd w:val="clear"/>
                    <w:kinsoku/>
                    <w:wordWrap w:val="0"/>
                    <w:overflowPunct/>
                    <w:topLinePunct w:val="0"/>
                    <w:bidi w:val="0"/>
                    <w:spacing w:line="240" w:lineRule="auto"/>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名称</w:t>
                  </w:r>
                </w:p>
              </w:tc>
            </w:tr>
            <w:tr w14:paraId="1B8D4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81" w:type="dxa"/>
                  <w:vMerge w:val="restart"/>
                  <w:tcBorders>
                    <w:top w:val="nil"/>
                    <w:left w:val="single" w:color="000000" w:sz="8" w:space="0"/>
                    <w:right w:val="single" w:color="000000" w:sz="8" w:space="0"/>
                  </w:tcBorders>
                  <w:shd w:val="clear" w:color="auto" w:fill="auto"/>
                  <w:vAlign w:val="center"/>
                </w:tcPr>
                <w:p w14:paraId="16AF01B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DW001</w:t>
                  </w:r>
                </w:p>
              </w:tc>
              <w:tc>
                <w:tcPr>
                  <w:tcW w:w="926" w:type="dxa"/>
                  <w:vMerge w:val="restart"/>
                  <w:tcBorders>
                    <w:top w:val="nil"/>
                    <w:left w:val="single" w:color="000000" w:sz="8" w:space="0"/>
                    <w:right w:val="single" w:color="000000" w:sz="8" w:space="0"/>
                  </w:tcBorders>
                  <w:shd w:val="clear" w:color="auto" w:fill="auto"/>
                  <w:vAlign w:val="center"/>
                </w:tcPr>
                <w:p w14:paraId="2E38A691">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生活污水</w:t>
                  </w: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21E9DC61">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pH</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172C5D5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color w:val="000000" w:themeColor="text1"/>
                      <w:kern w:val="0"/>
                      <w:szCs w:val="21"/>
                      <w:highlight w:val="none"/>
                      <w:lang w:val="en-US" w:eastAsia="zh-CN" w:bidi="ar"/>
                      <w14:textFill>
                        <w14:solidFill>
                          <w14:schemeClr w14:val="tx1"/>
                        </w14:solidFill>
                      </w14:textFill>
                    </w:rPr>
                    <w:t>6-9</w:t>
                  </w:r>
                  <w:r>
                    <w:rPr>
                      <w:rFonts w:hint="eastAsia" w:cs="Times New Roman"/>
                      <w:b w:val="0"/>
                      <w:bCs w:val="0"/>
                      <w:color w:val="000000" w:themeColor="text1"/>
                      <w:kern w:val="0"/>
                      <w:szCs w:val="21"/>
                      <w:highlight w:val="none"/>
                      <w:lang w:val="en-US" w:eastAsia="zh-CN" w:bidi="ar"/>
                      <w14:textFill>
                        <w14:solidFill>
                          <w14:schemeClr w14:val="tx1"/>
                        </w14:solidFill>
                      </w14:textFill>
                    </w:rPr>
                    <w:t>（无量纲）</w:t>
                  </w:r>
                </w:p>
              </w:tc>
              <w:tc>
                <w:tcPr>
                  <w:tcW w:w="2175" w:type="dxa"/>
                  <w:vMerge w:val="restart"/>
                  <w:tcBorders>
                    <w:top w:val="nil"/>
                    <w:left w:val="single" w:color="000000" w:sz="8" w:space="0"/>
                    <w:right w:val="single" w:color="000000" w:sz="8" w:space="0"/>
                  </w:tcBorders>
                  <w:shd w:val="clear" w:color="auto" w:fill="auto"/>
                  <w:vAlign w:val="center"/>
                </w:tcPr>
                <w:p w14:paraId="14ADE7D6">
                  <w:pPr>
                    <w:keepNext/>
                    <w:keepLines w:val="0"/>
                    <w:pageBreakBefore/>
                    <w:widowControl w:val="0"/>
                    <w:suppressLineNumbers w:val="0"/>
                    <w:shd w:val="clear"/>
                    <w:kinsoku/>
                    <w:wordWrap w:val="0"/>
                    <w:overflowPunct/>
                    <w:topLinePunct w:val="0"/>
                    <w:bidi w:val="0"/>
                    <w:spacing w:line="240" w:lineRule="auto"/>
                    <w:jc w:val="center"/>
                    <w:textAlignment w:val="center"/>
                    <w:rPr>
                      <w:rFonts w:hint="default" w:ascii="Times New Roman" w:hAnsi="Times New Roman" w:eastAsia="宋体" w:cs="Times New Roman"/>
                      <w:b w:val="0"/>
                      <w:bCs w:val="0"/>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广东省地方标准《水污染物排放限值》（DB44/26-2001）第二时段三级标准</w:t>
                  </w:r>
                </w:p>
              </w:tc>
            </w:tr>
            <w:tr w14:paraId="2200F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81" w:type="dxa"/>
                  <w:vMerge w:val="continue"/>
                  <w:tcBorders>
                    <w:left w:val="single" w:color="000000" w:sz="8" w:space="0"/>
                    <w:right w:val="single" w:color="000000" w:sz="8" w:space="0"/>
                  </w:tcBorders>
                  <w:shd w:val="clear" w:color="auto" w:fill="auto"/>
                  <w:vAlign w:val="center"/>
                </w:tcPr>
                <w:p w14:paraId="7D4FF187">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26" w:type="dxa"/>
                  <w:vMerge w:val="continue"/>
                  <w:tcBorders>
                    <w:left w:val="single" w:color="000000" w:sz="8" w:space="0"/>
                    <w:right w:val="single" w:color="000000" w:sz="8" w:space="0"/>
                  </w:tcBorders>
                  <w:shd w:val="clear" w:color="auto" w:fill="auto"/>
                  <w:vAlign w:val="center"/>
                </w:tcPr>
                <w:p w14:paraId="3B6FE145">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79CF362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CODcr</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592E19C1">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500mg/L</w:t>
                  </w:r>
                </w:p>
              </w:tc>
              <w:tc>
                <w:tcPr>
                  <w:tcW w:w="2175" w:type="dxa"/>
                  <w:vMerge w:val="continue"/>
                  <w:tcBorders>
                    <w:left w:val="single" w:color="000000" w:sz="8" w:space="0"/>
                    <w:right w:val="single" w:color="000000" w:sz="8" w:space="0"/>
                  </w:tcBorders>
                  <w:shd w:val="clear" w:color="auto" w:fill="auto"/>
                  <w:vAlign w:val="center"/>
                </w:tcPr>
                <w:p w14:paraId="3E77C7F1">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4038D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881" w:type="dxa"/>
                  <w:vMerge w:val="continue"/>
                  <w:tcBorders>
                    <w:left w:val="single" w:color="000000" w:sz="8" w:space="0"/>
                    <w:right w:val="single" w:color="000000" w:sz="8" w:space="0"/>
                  </w:tcBorders>
                  <w:shd w:val="clear" w:color="auto" w:fill="auto"/>
                  <w:vAlign w:val="center"/>
                </w:tcPr>
                <w:p w14:paraId="6D929736">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26" w:type="dxa"/>
                  <w:vMerge w:val="continue"/>
                  <w:tcBorders>
                    <w:left w:val="single" w:color="000000" w:sz="8" w:space="0"/>
                    <w:right w:val="single" w:color="000000" w:sz="8" w:space="0"/>
                  </w:tcBorders>
                  <w:shd w:val="clear" w:color="auto" w:fill="auto"/>
                  <w:vAlign w:val="center"/>
                </w:tcPr>
                <w:p w14:paraId="6F61A9AC">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6D040CD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BOD</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5</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0C79AECB">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300mg/L</w:t>
                  </w:r>
                </w:p>
              </w:tc>
              <w:tc>
                <w:tcPr>
                  <w:tcW w:w="2175" w:type="dxa"/>
                  <w:vMerge w:val="continue"/>
                  <w:tcBorders>
                    <w:left w:val="single" w:color="000000" w:sz="8" w:space="0"/>
                    <w:right w:val="single" w:color="000000" w:sz="8" w:space="0"/>
                  </w:tcBorders>
                  <w:shd w:val="clear" w:color="auto" w:fill="auto"/>
                  <w:vAlign w:val="center"/>
                </w:tcPr>
                <w:p w14:paraId="623E3162">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62AD8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81" w:type="dxa"/>
                  <w:vMerge w:val="continue"/>
                  <w:tcBorders>
                    <w:left w:val="single" w:color="000000" w:sz="8" w:space="0"/>
                    <w:right w:val="single" w:color="000000" w:sz="8" w:space="0"/>
                  </w:tcBorders>
                  <w:shd w:val="clear" w:color="auto" w:fill="auto"/>
                  <w:vAlign w:val="center"/>
                </w:tcPr>
                <w:p w14:paraId="77F8B581">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26" w:type="dxa"/>
                  <w:vMerge w:val="continue"/>
                  <w:tcBorders>
                    <w:left w:val="single" w:color="000000" w:sz="8" w:space="0"/>
                    <w:right w:val="single" w:color="000000" w:sz="8" w:space="0"/>
                  </w:tcBorders>
                  <w:shd w:val="clear" w:color="auto" w:fill="auto"/>
                  <w:vAlign w:val="center"/>
                </w:tcPr>
                <w:p w14:paraId="6F4E1822">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90" w:type="dxa"/>
                  <w:tcBorders>
                    <w:top w:val="nil"/>
                    <w:left w:val="single" w:color="000000" w:sz="8" w:space="0"/>
                    <w:bottom w:val="single" w:color="000000" w:sz="8" w:space="0"/>
                    <w:right w:val="single" w:color="000000" w:sz="8" w:space="0"/>
                  </w:tcBorders>
                  <w:shd w:val="clear" w:color="auto" w:fill="auto"/>
                  <w:vAlign w:val="center"/>
                </w:tcPr>
                <w:p w14:paraId="3D72A3D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SS</w:t>
                  </w:r>
                </w:p>
              </w:tc>
              <w:tc>
                <w:tcPr>
                  <w:tcW w:w="1725" w:type="dxa"/>
                  <w:tcBorders>
                    <w:top w:val="nil"/>
                    <w:left w:val="single" w:color="000000" w:sz="8" w:space="0"/>
                    <w:bottom w:val="single" w:color="000000" w:sz="8" w:space="0"/>
                    <w:right w:val="single" w:color="000000" w:sz="8" w:space="0"/>
                  </w:tcBorders>
                  <w:shd w:val="clear" w:color="auto" w:fill="auto"/>
                  <w:vAlign w:val="center"/>
                </w:tcPr>
                <w:p w14:paraId="05411F4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400mg/L</w:t>
                  </w:r>
                </w:p>
              </w:tc>
              <w:tc>
                <w:tcPr>
                  <w:tcW w:w="2175" w:type="dxa"/>
                  <w:vMerge w:val="continue"/>
                  <w:tcBorders>
                    <w:left w:val="single" w:color="000000" w:sz="8" w:space="0"/>
                    <w:right w:val="single" w:color="000000" w:sz="8" w:space="0"/>
                  </w:tcBorders>
                  <w:shd w:val="clear" w:color="auto" w:fill="auto"/>
                  <w:vAlign w:val="center"/>
                </w:tcPr>
                <w:p w14:paraId="1EC4A4B0">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6A11B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jc w:val="center"/>
              </w:trPr>
              <w:tc>
                <w:tcPr>
                  <w:tcW w:w="881" w:type="dxa"/>
                  <w:vMerge w:val="continue"/>
                  <w:tcBorders>
                    <w:left w:val="single" w:color="000000" w:sz="8" w:space="0"/>
                    <w:right w:val="single" w:color="000000" w:sz="8" w:space="0"/>
                  </w:tcBorders>
                  <w:shd w:val="clear" w:color="auto" w:fill="auto"/>
                  <w:vAlign w:val="center"/>
                </w:tcPr>
                <w:p w14:paraId="3178A4C3">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26" w:type="dxa"/>
                  <w:vMerge w:val="continue"/>
                  <w:tcBorders>
                    <w:left w:val="single" w:color="000000" w:sz="8" w:space="0"/>
                    <w:right w:val="single" w:color="000000" w:sz="8" w:space="0"/>
                  </w:tcBorders>
                  <w:shd w:val="clear" w:color="auto" w:fill="auto"/>
                  <w:vAlign w:val="center"/>
                </w:tcPr>
                <w:p w14:paraId="799BDB02">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90" w:type="dxa"/>
                  <w:tcBorders>
                    <w:top w:val="nil"/>
                    <w:left w:val="single" w:color="000000" w:sz="8" w:space="0"/>
                    <w:bottom w:val="single" w:color="auto" w:sz="4" w:space="0"/>
                    <w:right w:val="single" w:color="000000" w:sz="8" w:space="0"/>
                  </w:tcBorders>
                  <w:shd w:val="clear" w:color="auto" w:fill="auto"/>
                  <w:vAlign w:val="center"/>
                </w:tcPr>
                <w:p w14:paraId="64D1D2B2">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NH</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w:t>
                  </w:r>
                </w:p>
              </w:tc>
              <w:tc>
                <w:tcPr>
                  <w:tcW w:w="1725" w:type="dxa"/>
                  <w:tcBorders>
                    <w:top w:val="nil"/>
                    <w:left w:val="single" w:color="000000" w:sz="8" w:space="0"/>
                    <w:bottom w:val="single" w:color="auto" w:sz="4" w:space="0"/>
                    <w:right w:val="single" w:color="000000" w:sz="8" w:space="0"/>
                  </w:tcBorders>
                  <w:shd w:val="clear" w:color="auto" w:fill="auto"/>
                  <w:vAlign w:val="center"/>
                </w:tcPr>
                <w:p w14:paraId="6EB2AE62">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175" w:type="dxa"/>
                  <w:vMerge w:val="continue"/>
                  <w:tcBorders>
                    <w:left w:val="single" w:color="000000" w:sz="8" w:space="0"/>
                    <w:right w:val="single" w:color="000000" w:sz="8" w:space="0"/>
                  </w:tcBorders>
                  <w:shd w:val="clear" w:color="auto" w:fill="auto"/>
                  <w:vAlign w:val="center"/>
                </w:tcPr>
                <w:p w14:paraId="604FB17D">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5C7DA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jc w:val="center"/>
              </w:trPr>
              <w:tc>
                <w:tcPr>
                  <w:tcW w:w="881" w:type="dxa"/>
                  <w:vMerge w:val="continue"/>
                  <w:tcBorders>
                    <w:left w:val="single" w:color="000000" w:sz="8" w:space="0"/>
                    <w:bottom w:val="single" w:color="000000" w:sz="8" w:space="0"/>
                    <w:right w:val="single" w:color="000000" w:sz="8" w:space="0"/>
                  </w:tcBorders>
                  <w:shd w:val="clear" w:color="auto" w:fill="auto"/>
                  <w:vAlign w:val="center"/>
                </w:tcPr>
                <w:p w14:paraId="7CEA6B2B">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26" w:type="dxa"/>
                  <w:vMerge w:val="continue"/>
                  <w:tcBorders>
                    <w:left w:val="single" w:color="000000" w:sz="8" w:space="0"/>
                    <w:bottom w:val="single" w:color="000000" w:sz="8" w:space="0"/>
                    <w:right w:val="single" w:color="auto" w:sz="4" w:space="0"/>
                  </w:tcBorders>
                  <w:shd w:val="clear" w:color="auto" w:fill="auto"/>
                  <w:vAlign w:val="center"/>
                </w:tcPr>
                <w:p w14:paraId="76084761">
                  <w:pPr>
                    <w:shd w:val="clea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90" w:type="dxa"/>
                  <w:tcBorders>
                    <w:top w:val="single" w:color="auto" w:sz="4" w:space="0"/>
                    <w:left w:val="single" w:color="auto" w:sz="4" w:space="0"/>
                    <w:bottom w:val="single" w:color="auto" w:sz="4" w:space="0"/>
                    <w:right w:val="single" w:color="000000" w:sz="8" w:space="0"/>
                  </w:tcBorders>
                  <w:shd w:val="clear" w:color="auto" w:fill="auto"/>
                  <w:vAlign w:val="center"/>
                </w:tcPr>
                <w:p w14:paraId="57F859BA">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Tp</w:t>
                  </w:r>
                </w:p>
              </w:tc>
              <w:tc>
                <w:tcPr>
                  <w:tcW w:w="1725" w:type="dxa"/>
                  <w:tcBorders>
                    <w:top w:val="single" w:color="auto" w:sz="4" w:space="0"/>
                    <w:left w:val="single" w:color="000000" w:sz="8" w:space="0"/>
                    <w:bottom w:val="single" w:color="auto" w:sz="4" w:space="0"/>
                    <w:right w:val="single" w:color="auto" w:sz="4" w:space="0"/>
                  </w:tcBorders>
                  <w:shd w:val="clear" w:color="auto" w:fill="auto"/>
                  <w:vAlign w:val="center"/>
                </w:tcPr>
                <w:p w14:paraId="6E8B328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175" w:type="dxa"/>
                  <w:vMerge w:val="continue"/>
                  <w:tcBorders>
                    <w:left w:val="single" w:color="000000" w:sz="8" w:space="0"/>
                    <w:bottom w:val="single" w:color="000000" w:sz="8" w:space="0"/>
                    <w:right w:val="single" w:color="000000" w:sz="8" w:space="0"/>
                  </w:tcBorders>
                  <w:shd w:val="clear" w:color="auto" w:fill="auto"/>
                  <w:vAlign w:val="center"/>
                </w:tcPr>
                <w:p w14:paraId="6D09D6E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bl>
          <w:p w14:paraId="7C02276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jc w:val="center"/>
              <w:textAlignment w:val="auto"/>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表3</w:t>
            </w:r>
            <w:r>
              <w:rPr>
                <w:rFonts w:hint="eastAsia" w:cs="Times New Roman"/>
                <w:b/>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废水污染物排放信息表</w:t>
            </w:r>
          </w:p>
          <w:tbl>
            <w:tblPr>
              <w:tblStyle w:val="33"/>
              <w:tblW w:w="74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3"/>
              <w:gridCol w:w="1296"/>
              <w:gridCol w:w="1854"/>
              <w:gridCol w:w="1487"/>
              <w:gridCol w:w="1581"/>
            </w:tblGrid>
            <w:tr w14:paraId="7F24A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jc w:val="center"/>
              </w:trPr>
              <w:tc>
                <w:tcPr>
                  <w:tcW w:w="12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82977D">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排放口</w:t>
                  </w:r>
                </w:p>
              </w:tc>
              <w:tc>
                <w:tcPr>
                  <w:tcW w:w="1296" w:type="dxa"/>
                  <w:tcBorders>
                    <w:top w:val="single" w:color="000000" w:sz="8" w:space="0"/>
                    <w:left w:val="nil"/>
                    <w:bottom w:val="single" w:color="000000" w:sz="8" w:space="0"/>
                    <w:right w:val="single" w:color="000000" w:sz="8" w:space="0"/>
                  </w:tcBorders>
                  <w:shd w:val="clear" w:color="auto" w:fill="auto"/>
                  <w:vAlign w:val="center"/>
                </w:tcPr>
                <w:p w14:paraId="6C065815">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污染物种类</w:t>
                  </w:r>
                </w:p>
              </w:tc>
              <w:tc>
                <w:tcPr>
                  <w:tcW w:w="1854" w:type="dxa"/>
                  <w:tcBorders>
                    <w:top w:val="single" w:color="000000" w:sz="8" w:space="0"/>
                    <w:left w:val="nil"/>
                    <w:bottom w:val="single" w:color="000000" w:sz="8" w:space="0"/>
                    <w:right w:val="single" w:color="000000" w:sz="8" w:space="0"/>
                  </w:tcBorders>
                  <w:shd w:val="clear" w:color="auto" w:fill="auto"/>
                  <w:vAlign w:val="center"/>
                </w:tcPr>
                <w:p w14:paraId="27CD7C71">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排放浓度（mg/L）</w:t>
                  </w:r>
                </w:p>
              </w:tc>
              <w:tc>
                <w:tcPr>
                  <w:tcW w:w="1487" w:type="dxa"/>
                  <w:tcBorders>
                    <w:top w:val="single" w:color="000000" w:sz="8" w:space="0"/>
                    <w:left w:val="nil"/>
                    <w:bottom w:val="single" w:color="000000" w:sz="8" w:space="0"/>
                    <w:right w:val="single" w:color="000000" w:sz="8" w:space="0"/>
                  </w:tcBorders>
                  <w:shd w:val="clear" w:color="auto" w:fill="auto"/>
                  <w:vAlign w:val="center"/>
                </w:tcPr>
                <w:p w14:paraId="4532423B">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日排放量（t/d）</w:t>
                  </w:r>
                </w:p>
              </w:tc>
              <w:tc>
                <w:tcPr>
                  <w:tcW w:w="1581" w:type="dxa"/>
                  <w:tcBorders>
                    <w:top w:val="single" w:color="000000" w:sz="8" w:space="0"/>
                    <w:left w:val="nil"/>
                    <w:bottom w:val="single" w:color="000000" w:sz="8" w:space="0"/>
                    <w:right w:val="single" w:color="000000" w:sz="8" w:space="0"/>
                  </w:tcBorders>
                  <w:shd w:val="clear" w:color="auto" w:fill="auto"/>
                  <w:vAlign w:val="center"/>
                </w:tcPr>
                <w:p w14:paraId="1B3ADA6C">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年排放量（t/a）</w:t>
                  </w:r>
                </w:p>
              </w:tc>
            </w:tr>
            <w:tr w14:paraId="6AC0E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203" w:type="dxa"/>
                  <w:vMerge w:val="restart"/>
                  <w:tcBorders>
                    <w:top w:val="nil"/>
                    <w:left w:val="single" w:color="000000" w:sz="8" w:space="0"/>
                    <w:right w:val="single" w:color="000000" w:sz="8" w:space="0"/>
                  </w:tcBorders>
                  <w:shd w:val="clear" w:color="auto" w:fill="auto"/>
                  <w:vAlign w:val="center"/>
                </w:tcPr>
                <w:p w14:paraId="555EA2C1">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DW001（生活污水）</w:t>
                  </w:r>
                </w:p>
              </w:tc>
              <w:tc>
                <w:tcPr>
                  <w:tcW w:w="1296" w:type="dxa"/>
                  <w:tcBorders>
                    <w:top w:val="nil"/>
                    <w:left w:val="nil"/>
                    <w:bottom w:val="single" w:color="000000" w:sz="8" w:space="0"/>
                    <w:right w:val="single" w:color="000000" w:sz="8" w:space="0"/>
                  </w:tcBorders>
                  <w:shd w:val="clear" w:color="auto" w:fill="auto"/>
                  <w:vAlign w:val="center"/>
                </w:tcPr>
                <w:p w14:paraId="13B23D8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流量</w:t>
                  </w:r>
                </w:p>
              </w:tc>
              <w:tc>
                <w:tcPr>
                  <w:tcW w:w="1854" w:type="dxa"/>
                  <w:tcBorders>
                    <w:top w:val="nil"/>
                    <w:left w:val="nil"/>
                    <w:bottom w:val="single" w:color="000000" w:sz="8" w:space="0"/>
                    <w:right w:val="single" w:color="000000" w:sz="8" w:space="0"/>
                  </w:tcBorders>
                  <w:shd w:val="clear" w:color="auto" w:fill="auto"/>
                  <w:vAlign w:val="center"/>
                </w:tcPr>
                <w:p w14:paraId="745F4F68">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1487" w:type="dxa"/>
                  <w:tcBorders>
                    <w:top w:val="nil"/>
                    <w:left w:val="nil"/>
                    <w:bottom w:val="single" w:color="000000" w:sz="8" w:space="0"/>
                    <w:right w:val="single" w:color="000000" w:sz="8" w:space="0"/>
                  </w:tcBorders>
                  <w:shd w:val="clear" w:color="auto" w:fill="auto"/>
                  <w:vAlign w:val="center"/>
                </w:tcPr>
                <w:p w14:paraId="755453F8">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0.6</w:t>
                  </w:r>
                </w:p>
              </w:tc>
              <w:tc>
                <w:tcPr>
                  <w:tcW w:w="1581" w:type="dxa"/>
                  <w:tcBorders>
                    <w:top w:val="nil"/>
                    <w:left w:val="nil"/>
                    <w:bottom w:val="single" w:color="000000" w:sz="8" w:space="0"/>
                    <w:right w:val="single" w:color="000000" w:sz="8" w:space="0"/>
                  </w:tcBorders>
                  <w:shd w:val="clear" w:color="auto" w:fill="auto"/>
                  <w:vAlign w:val="center"/>
                </w:tcPr>
                <w:p w14:paraId="60A7B08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180</w:t>
                  </w:r>
                </w:p>
              </w:tc>
            </w:tr>
            <w:tr w14:paraId="13B27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203" w:type="dxa"/>
                  <w:vMerge w:val="continue"/>
                  <w:tcBorders>
                    <w:left w:val="single" w:color="000000" w:sz="8" w:space="0"/>
                    <w:right w:val="single" w:color="000000" w:sz="8" w:space="0"/>
                  </w:tcBorders>
                  <w:shd w:val="clear" w:color="auto" w:fill="auto"/>
                  <w:vAlign w:val="center"/>
                </w:tcPr>
                <w:p w14:paraId="56931363">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296" w:type="dxa"/>
                  <w:tcBorders>
                    <w:top w:val="nil"/>
                    <w:left w:val="nil"/>
                    <w:bottom w:val="single" w:color="000000" w:sz="8" w:space="0"/>
                    <w:right w:val="single" w:color="000000" w:sz="8" w:space="0"/>
                  </w:tcBorders>
                  <w:shd w:val="clear" w:color="auto" w:fill="auto"/>
                  <w:vAlign w:val="center"/>
                </w:tcPr>
                <w:p w14:paraId="4C2EC3A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PH</w:t>
                  </w:r>
                </w:p>
              </w:tc>
              <w:tc>
                <w:tcPr>
                  <w:tcW w:w="4922" w:type="dxa"/>
                  <w:gridSpan w:val="3"/>
                  <w:tcBorders>
                    <w:top w:val="nil"/>
                    <w:left w:val="nil"/>
                    <w:bottom w:val="single" w:color="000000" w:sz="8" w:space="0"/>
                    <w:right w:val="single" w:color="000000" w:sz="8" w:space="0"/>
                  </w:tcBorders>
                  <w:shd w:val="clear" w:color="auto" w:fill="auto"/>
                  <w:vAlign w:val="center"/>
                </w:tcPr>
                <w:p w14:paraId="245FB255">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6-9（无量纲）</w:t>
                  </w:r>
                </w:p>
              </w:tc>
            </w:tr>
            <w:tr w14:paraId="01C88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203" w:type="dxa"/>
                  <w:vMerge w:val="continue"/>
                  <w:tcBorders>
                    <w:left w:val="single" w:color="000000" w:sz="8" w:space="0"/>
                    <w:right w:val="single" w:color="000000" w:sz="8" w:space="0"/>
                  </w:tcBorders>
                  <w:shd w:val="clear" w:color="auto" w:fill="auto"/>
                  <w:vAlign w:val="center"/>
                </w:tcPr>
                <w:p w14:paraId="34BBCA61">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296" w:type="dxa"/>
                  <w:tcBorders>
                    <w:top w:val="nil"/>
                    <w:left w:val="nil"/>
                    <w:bottom w:val="single" w:color="000000" w:sz="8" w:space="0"/>
                    <w:right w:val="single" w:color="000000" w:sz="8" w:space="0"/>
                  </w:tcBorders>
                  <w:shd w:val="clear" w:color="auto" w:fill="auto"/>
                  <w:vAlign w:val="center"/>
                </w:tcPr>
                <w:p w14:paraId="028F54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CODcr</w:t>
                  </w:r>
                </w:p>
              </w:tc>
              <w:tc>
                <w:tcPr>
                  <w:tcW w:w="1854" w:type="dxa"/>
                  <w:tcBorders>
                    <w:top w:val="nil"/>
                    <w:left w:val="nil"/>
                    <w:bottom w:val="single" w:color="000000" w:sz="8" w:space="0"/>
                    <w:right w:val="single" w:color="000000" w:sz="8" w:space="0"/>
                  </w:tcBorders>
                  <w:shd w:val="clear" w:color="auto" w:fill="auto"/>
                  <w:vAlign w:val="center"/>
                </w:tcPr>
                <w:p w14:paraId="2413E2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250</w:t>
                  </w:r>
                </w:p>
              </w:tc>
              <w:tc>
                <w:tcPr>
                  <w:tcW w:w="1487" w:type="dxa"/>
                  <w:tcBorders>
                    <w:top w:val="nil"/>
                    <w:left w:val="nil"/>
                    <w:bottom w:val="single" w:color="000000" w:sz="8" w:space="0"/>
                    <w:right w:val="single" w:color="000000" w:sz="8" w:space="0"/>
                  </w:tcBorders>
                  <w:shd w:val="clear" w:color="auto" w:fill="auto"/>
                  <w:vAlign w:val="center"/>
                </w:tcPr>
                <w:p w14:paraId="140127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0.00015</w:t>
                  </w:r>
                </w:p>
              </w:tc>
              <w:tc>
                <w:tcPr>
                  <w:tcW w:w="1581" w:type="dxa"/>
                  <w:tcBorders>
                    <w:top w:val="nil"/>
                    <w:left w:val="nil"/>
                    <w:bottom w:val="single" w:color="000000" w:sz="8" w:space="0"/>
                    <w:right w:val="single" w:color="000000" w:sz="8" w:space="0"/>
                  </w:tcBorders>
                  <w:shd w:val="clear" w:color="auto" w:fill="auto"/>
                  <w:vAlign w:val="center"/>
                </w:tcPr>
                <w:p w14:paraId="645970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0.045</w:t>
                  </w:r>
                </w:p>
              </w:tc>
            </w:tr>
            <w:tr w14:paraId="59A01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203" w:type="dxa"/>
                  <w:vMerge w:val="continue"/>
                  <w:tcBorders>
                    <w:left w:val="single" w:color="000000" w:sz="8" w:space="0"/>
                    <w:right w:val="single" w:color="000000" w:sz="8" w:space="0"/>
                  </w:tcBorders>
                  <w:shd w:val="clear" w:color="auto" w:fill="auto"/>
                  <w:vAlign w:val="center"/>
                </w:tcPr>
                <w:p w14:paraId="00E51BE3">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296" w:type="dxa"/>
                  <w:tcBorders>
                    <w:top w:val="nil"/>
                    <w:left w:val="nil"/>
                    <w:bottom w:val="single" w:color="000000" w:sz="8" w:space="0"/>
                    <w:right w:val="single" w:color="000000" w:sz="8" w:space="0"/>
                  </w:tcBorders>
                  <w:shd w:val="clear" w:color="auto" w:fill="auto"/>
                  <w:vAlign w:val="center"/>
                </w:tcPr>
                <w:p w14:paraId="5DCA02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BOD</w:t>
                  </w:r>
                  <w:r>
                    <w:rPr>
                      <w:rFonts w:hint="default" w:ascii="Times New Roman" w:hAnsi="Times New Roman" w:cs="Times New Roman"/>
                      <w:color w:val="000000" w:themeColor="text1"/>
                      <w:kern w:val="0"/>
                      <w:szCs w:val="21"/>
                      <w:highlight w:val="none"/>
                      <w:vertAlign w:val="subscript"/>
                      <w:lang w:bidi="ar"/>
                      <w14:textFill>
                        <w14:solidFill>
                          <w14:schemeClr w14:val="tx1"/>
                        </w14:solidFill>
                      </w14:textFill>
                    </w:rPr>
                    <w:t>5</w:t>
                  </w:r>
                </w:p>
              </w:tc>
              <w:tc>
                <w:tcPr>
                  <w:tcW w:w="1854" w:type="dxa"/>
                  <w:tcBorders>
                    <w:top w:val="nil"/>
                    <w:left w:val="nil"/>
                    <w:bottom w:val="single" w:color="000000" w:sz="8" w:space="0"/>
                    <w:right w:val="single" w:color="000000" w:sz="8" w:space="0"/>
                  </w:tcBorders>
                  <w:shd w:val="clear" w:color="auto" w:fill="auto"/>
                  <w:vAlign w:val="center"/>
                </w:tcPr>
                <w:p w14:paraId="488B89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150</w:t>
                  </w:r>
                </w:p>
              </w:tc>
              <w:tc>
                <w:tcPr>
                  <w:tcW w:w="1487" w:type="dxa"/>
                  <w:tcBorders>
                    <w:top w:val="nil"/>
                    <w:left w:val="nil"/>
                    <w:bottom w:val="single" w:color="000000" w:sz="8" w:space="0"/>
                    <w:right w:val="single" w:color="000000" w:sz="8" w:space="0"/>
                  </w:tcBorders>
                  <w:shd w:val="clear" w:color="auto" w:fill="auto"/>
                  <w:vAlign w:val="center"/>
                </w:tcPr>
                <w:p w14:paraId="604EAD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0.00009</w:t>
                  </w:r>
                </w:p>
              </w:tc>
              <w:tc>
                <w:tcPr>
                  <w:tcW w:w="1581" w:type="dxa"/>
                  <w:tcBorders>
                    <w:top w:val="nil"/>
                    <w:left w:val="nil"/>
                    <w:bottom w:val="single" w:color="000000" w:sz="8" w:space="0"/>
                    <w:right w:val="single" w:color="000000" w:sz="8" w:space="0"/>
                  </w:tcBorders>
                  <w:shd w:val="clear" w:color="auto" w:fill="auto"/>
                  <w:vAlign w:val="center"/>
                </w:tcPr>
                <w:p w14:paraId="36BD51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0.027</w:t>
                  </w:r>
                </w:p>
              </w:tc>
            </w:tr>
            <w:tr w14:paraId="2F57B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203" w:type="dxa"/>
                  <w:vMerge w:val="continue"/>
                  <w:tcBorders>
                    <w:left w:val="single" w:color="000000" w:sz="8" w:space="0"/>
                    <w:right w:val="single" w:color="000000" w:sz="8" w:space="0"/>
                  </w:tcBorders>
                  <w:shd w:val="clear" w:color="auto" w:fill="auto"/>
                  <w:vAlign w:val="center"/>
                </w:tcPr>
                <w:p w14:paraId="2631D2A1">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296" w:type="dxa"/>
                  <w:tcBorders>
                    <w:top w:val="nil"/>
                    <w:left w:val="nil"/>
                    <w:bottom w:val="single" w:color="000000" w:sz="8" w:space="0"/>
                    <w:right w:val="single" w:color="000000" w:sz="8" w:space="0"/>
                  </w:tcBorders>
                  <w:shd w:val="clear" w:color="auto" w:fill="auto"/>
                  <w:vAlign w:val="center"/>
                </w:tcPr>
                <w:p w14:paraId="1E45FF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SS</w:t>
                  </w:r>
                </w:p>
              </w:tc>
              <w:tc>
                <w:tcPr>
                  <w:tcW w:w="1854" w:type="dxa"/>
                  <w:tcBorders>
                    <w:top w:val="nil"/>
                    <w:left w:val="nil"/>
                    <w:bottom w:val="single" w:color="000000" w:sz="8" w:space="0"/>
                    <w:right w:val="single" w:color="000000" w:sz="8" w:space="0"/>
                  </w:tcBorders>
                  <w:shd w:val="clear" w:color="auto" w:fill="auto"/>
                  <w:vAlign w:val="center"/>
                </w:tcPr>
                <w:p w14:paraId="23AC94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15</w:t>
                  </w:r>
                  <w:r>
                    <w:rPr>
                      <w:rFonts w:hint="default" w:ascii="Times New Roman" w:hAnsi="Times New Roman" w:cs="Times New Roman"/>
                      <w:color w:val="000000" w:themeColor="text1"/>
                      <w:kern w:val="0"/>
                      <w:szCs w:val="21"/>
                      <w:highlight w:val="none"/>
                      <w:lang w:bidi="ar"/>
                      <w14:textFill>
                        <w14:solidFill>
                          <w14:schemeClr w14:val="tx1"/>
                        </w14:solidFill>
                      </w14:textFill>
                    </w:rPr>
                    <w:t>0</w:t>
                  </w:r>
                </w:p>
              </w:tc>
              <w:tc>
                <w:tcPr>
                  <w:tcW w:w="1487" w:type="dxa"/>
                  <w:tcBorders>
                    <w:top w:val="nil"/>
                    <w:left w:val="nil"/>
                    <w:bottom w:val="single" w:color="000000" w:sz="8" w:space="0"/>
                    <w:right w:val="single" w:color="000000" w:sz="8" w:space="0"/>
                  </w:tcBorders>
                  <w:shd w:val="clear" w:color="auto" w:fill="auto"/>
                  <w:vAlign w:val="center"/>
                </w:tcPr>
                <w:p w14:paraId="0A7D97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0.00009</w:t>
                  </w:r>
                </w:p>
              </w:tc>
              <w:tc>
                <w:tcPr>
                  <w:tcW w:w="1581" w:type="dxa"/>
                  <w:tcBorders>
                    <w:top w:val="nil"/>
                    <w:left w:val="nil"/>
                    <w:bottom w:val="single" w:color="000000" w:sz="8" w:space="0"/>
                    <w:right w:val="single" w:color="000000" w:sz="8" w:space="0"/>
                  </w:tcBorders>
                  <w:shd w:val="clear" w:color="auto" w:fill="auto"/>
                  <w:vAlign w:val="center"/>
                </w:tcPr>
                <w:p w14:paraId="734352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0.027</w:t>
                  </w:r>
                </w:p>
              </w:tc>
            </w:tr>
            <w:tr w14:paraId="3204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3" w:type="dxa"/>
                  <w:vMerge w:val="continue"/>
                  <w:tcBorders>
                    <w:left w:val="single" w:color="000000" w:sz="8" w:space="0"/>
                    <w:right w:val="single" w:color="000000" w:sz="8" w:space="0"/>
                  </w:tcBorders>
                  <w:shd w:val="clear" w:color="auto" w:fill="auto"/>
                  <w:vAlign w:val="center"/>
                </w:tcPr>
                <w:p w14:paraId="173ADBE5">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296" w:type="dxa"/>
                  <w:tcBorders>
                    <w:top w:val="nil"/>
                    <w:left w:val="nil"/>
                    <w:bottom w:val="single" w:color="000000" w:sz="8" w:space="0"/>
                    <w:right w:val="single" w:color="000000" w:sz="8" w:space="0"/>
                  </w:tcBorders>
                  <w:shd w:val="clear" w:color="auto" w:fill="auto"/>
                  <w:vAlign w:val="center"/>
                </w:tcPr>
                <w:p w14:paraId="5086CB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NH</w:t>
                  </w:r>
                  <w:r>
                    <w:rPr>
                      <w:rFonts w:hint="default" w:ascii="Times New Roman" w:hAnsi="Times New Roman" w:cs="Times New Roman"/>
                      <w:color w:val="000000" w:themeColor="text1"/>
                      <w:kern w:val="0"/>
                      <w:szCs w:val="21"/>
                      <w:highlight w:val="none"/>
                      <w:vertAlign w:val="subscript"/>
                      <w:lang w:bidi="ar"/>
                      <w14:textFill>
                        <w14:solidFill>
                          <w14:schemeClr w14:val="tx1"/>
                        </w14:solidFill>
                      </w14:textFill>
                    </w:rPr>
                    <w:t>3</w:t>
                  </w:r>
                  <w:r>
                    <w:rPr>
                      <w:rFonts w:hint="default" w:ascii="Times New Roman" w:hAnsi="Times New Roman" w:cs="Times New Roman"/>
                      <w:color w:val="000000" w:themeColor="text1"/>
                      <w:kern w:val="0"/>
                      <w:szCs w:val="21"/>
                      <w:highlight w:val="none"/>
                      <w:lang w:bidi="ar"/>
                      <w14:textFill>
                        <w14:solidFill>
                          <w14:schemeClr w14:val="tx1"/>
                        </w14:solidFill>
                      </w14:textFill>
                    </w:rPr>
                    <w:t>-N</w:t>
                  </w:r>
                </w:p>
              </w:tc>
              <w:tc>
                <w:tcPr>
                  <w:tcW w:w="1854" w:type="dxa"/>
                  <w:tcBorders>
                    <w:top w:val="nil"/>
                    <w:left w:val="nil"/>
                    <w:bottom w:val="single" w:color="000000" w:sz="8" w:space="0"/>
                    <w:right w:val="single" w:color="000000" w:sz="8" w:space="0"/>
                  </w:tcBorders>
                  <w:shd w:val="clear" w:color="auto" w:fill="auto"/>
                  <w:vAlign w:val="center"/>
                </w:tcPr>
                <w:p w14:paraId="41D10E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30</w:t>
                  </w:r>
                </w:p>
              </w:tc>
              <w:tc>
                <w:tcPr>
                  <w:tcW w:w="1487" w:type="dxa"/>
                  <w:tcBorders>
                    <w:top w:val="nil"/>
                    <w:left w:val="nil"/>
                    <w:bottom w:val="single" w:color="000000" w:sz="8" w:space="0"/>
                    <w:right w:val="single" w:color="000000" w:sz="8" w:space="0"/>
                  </w:tcBorders>
                  <w:shd w:val="clear" w:color="auto" w:fill="auto"/>
                  <w:vAlign w:val="center"/>
                </w:tcPr>
                <w:p w14:paraId="547370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0.000018</w:t>
                  </w:r>
                </w:p>
              </w:tc>
              <w:tc>
                <w:tcPr>
                  <w:tcW w:w="1581" w:type="dxa"/>
                  <w:tcBorders>
                    <w:top w:val="nil"/>
                    <w:left w:val="nil"/>
                    <w:bottom w:val="single" w:color="000000" w:sz="8" w:space="0"/>
                    <w:right w:val="single" w:color="000000" w:sz="8" w:space="0"/>
                  </w:tcBorders>
                  <w:shd w:val="clear" w:color="auto" w:fill="auto"/>
                  <w:vAlign w:val="center"/>
                </w:tcPr>
                <w:p w14:paraId="7947AF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0.0054</w:t>
                  </w:r>
                </w:p>
              </w:tc>
            </w:tr>
            <w:tr w14:paraId="11E5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203" w:type="dxa"/>
                  <w:vMerge w:val="continue"/>
                  <w:tcBorders>
                    <w:left w:val="single" w:color="000000" w:sz="8" w:space="0"/>
                    <w:bottom w:val="single" w:color="000000" w:sz="8" w:space="0"/>
                    <w:right w:val="single" w:color="000000" w:sz="8" w:space="0"/>
                  </w:tcBorders>
                  <w:shd w:val="clear" w:color="auto" w:fill="auto"/>
                  <w:vAlign w:val="center"/>
                </w:tcPr>
                <w:p w14:paraId="0C5F5830">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296" w:type="dxa"/>
                  <w:tcBorders>
                    <w:top w:val="nil"/>
                    <w:left w:val="nil"/>
                    <w:bottom w:val="single" w:color="000000" w:sz="8" w:space="0"/>
                    <w:right w:val="single" w:color="000000" w:sz="8" w:space="0"/>
                  </w:tcBorders>
                  <w:shd w:val="clear" w:color="auto" w:fill="auto"/>
                  <w:vAlign w:val="center"/>
                </w:tcPr>
                <w:p w14:paraId="063465A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Tp</w:t>
                  </w:r>
                </w:p>
              </w:tc>
              <w:tc>
                <w:tcPr>
                  <w:tcW w:w="1854" w:type="dxa"/>
                  <w:tcBorders>
                    <w:top w:val="nil"/>
                    <w:left w:val="nil"/>
                    <w:bottom w:val="single" w:color="000000" w:sz="8" w:space="0"/>
                    <w:right w:val="single" w:color="000000" w:sz="8" w:space="0"/>
                  </w:tcBorders>
                  <w:shd w:val="clear" w:color="auto" w:fill="auto"/>
                  <w:vAlign w:val="center"/>
                </w:tcPr>
                <w:p w14:paraId="359586A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3</w:t>
                  </w:r>
                </w:p>
              </w:tc>
              <w:tc>
                <w:tcPr>
                  <w:tcW w:w="1487" w:type="dxa"/>
                  <w:tcBorders>
                    <w:top w:val="nil"/>
                    <w:left w:val="nil"/>
                    <w:bottom w:val="single" w:color="000000" w:sz="8" w:space="0"/>
                    <w:right w:val="single" w:color="000000" w:sz="8" w:space="0"/>
                  </w:tcBorders>
                  <w:shd w:val="clear" w:color="auto" w:fill="auto"/>
                  <w:vAlign w:val="center"/>
                </w:tcPr>
                <w:p w14:paraId="23A3301B">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0.0000018</w:t>
                  </w:r>
                </w:p>
              </w:tc>
              <w:tc>
                <w:tcPr>
                  <w:tcW w:w="1581" w:type="dxa"/>
                  <w:tcBorders>
                    <w:top w:val="nil"/>
                    <w:left w:val="nil"/>
                    <w:bottom w:val="single" w:color="000000" w:sz="8" w:space="0"/>
                    <w:right w:val="single" w:color="000000" w:sz="8" w:space="0"/>
                  </w:tcBorders>
                  <w:shd w:val="clear" w:color="auto" w:fill="auto"/>
                  <w:vAlign w:val="center"/>
                </w:tcPr>
                <w:p w14:paraId="7EC6A769">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0.00054</w:t>
                  </w:r>
                </w:p>
              </w:tc>
            </w:tr>
            <w:tr w14:paraId="10A1E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1203" w:type="dxa"/>
                  <w:vMerge w:val="restart"/>
                  <w:tcBorders>
                    <w:top w:val="nil"/>
                    <w:left w:val="single" w:color="000000" w:sz="8" w:space="0"/>
                    <w:right w:val="single" w:color="000000" w:sz="8" w:space="0"/>
                  </w:tcBorders>
                  <w:shd w:val="clear" w:color="auto" w:fill="auto"/>
                  <w:vAlign w:val="center"/>
                </w:tcPr>
                <w:p w14:paraId="039EF428">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全厂排放口合计</w:t>
                  </w:r>
                </w:p>
              </w:tc>
              <w:tc>
                <w:tcPr>
                  <w:tcW w:w="1296" w:type="dxa"/>
                  <w:tcBorders>
                    <w:top w:val="nil"/>
                    <w:left w:val="nil"/>
                    <w:bottom w:val="single" w:color="000000" w:sz="8" w:space="0"/>
                    <w:right w:val="single" w:color="000000" w:sz="8" w:space="0"/>
                  </w:tcBorders>
                  <w:shd w:val="clear" w:color="auto" w:fill="auto"/>
                  <w:vAlign w:val="center"/>
                </w:tcPr>
                <w:p w14:paraId="7F4F6102">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PH</w:t>
                  </w:r>
                </w:p>
              </w:tc>
              <w:tc>
                <w:tcPr>
                  <w:tcW w:w="4922" w:type="dxa"/>
                  <w:gridSpan w:val="3"/>
                  <w:tcBorders>
                    <w:top w:val="nil"/>
                    <w:left w:val="nil"/>
                    <w:bottom w:val="single" w:color="000000" w:sz="8" w:space="0"/>
                    <w:right w:val="single" w:color="000000" w:sz="8" w:space="0"/>
                  </w:tcBorders>
                  <w:shd w:val="clear" w:color="auto" w:fill="auto"/>
                  <w:vAlign w:val="center"/>
                </w:tcPr>
                <w:p w14:paraId="638D2506">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6-9（无量纲）</w:t>
                  </w:r>
                </w:p>
              </w:tc>
            </w:tr>
            <w:tr w14:paraId="36994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1203" w:type="dxa"/>
                  <w:vMerge w:val="continue"/>
                  <w:tcBorders>
                    <w:left w:val="single" w:color="000000" w:sz="8" w:space="0"/>
                    <w:right w:val="single" w:color="000000" w:sz="8" w:space="0"/>
                  </w:tcBorders>
                  <w:shd w:val="clear" w:color="auto" w:fill="auto"/>
                  <w:vAlign w:val="center"/>
                </w:tcPr>
                <w:p w14:paraId="791B2F3E">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296" w:type="dxa"/>
                  <w:tcBorders>
                    <w:top w:val="nil"/>
                    <w:left w:val="nil"/>
                    <w:bottom w:val="single" w:color="000000" w:sz="8" w:space="0"/>
                    <w:right w:val="single" w:color="000000" w:sz="8" w:space="0"/>
                  </w:tcBorders>
                  <w:shd w:val="clear" w:color="auto" w:fill="auto"/>
                  <w:vAlign w:val="center"/>
                </w:tcPr>
                <w:p w14:paraId="7015BC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CODcr</w:t>
                  </w:r>
                </w:p>
              </w:tc>
              <w:tc>
                <w:tcPr>
                  <w:tcW w:w="1854" w:type="dxa"/>
                  <w:tcBorders>
                    <w:top w:val="nil"/>
                    <w:left w:val="nil"/>
                    <w:bottom w:val="single" w:color="000000" w:sz="8" w:space="0"/>
                    <w:right w:val="single" w:color="000000" w:sz="8" w:space="0"/>
                  </w:tcBorders>
                  <w:shd w:val="clear" w:color="auto" w:fill="auto"/>
                  <w:vAlign w:val="center"/>
                </w:tcPr>
                <w:p w14:paraId="7499BF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250</w:t>
                  </w:r>
                </w:p>
              </w:tc>
              <w:tc>
                <w:tcPr>
                  <w:tcW w:w="1487" w:type="dxa"/>
                  <w:tcBorders>
                    <w:top w:val="nil"/>
                    <w:left w:val="nil"/>
                    <w:bottom w:val="single" w:color="000000" w:sz="8" w:space="0"/>
                    <w:right w:val="single" w:color="000000" w:sz="8" w:space="0"/>
                  </w:tcBorders>
                  <w:shd w:val="clear" w:color="auto" w:fill="auto"/>
                  <w:vAlign w:val="center"/>
                </w:tcPr>
                <w:p w14:paraId="023AD9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0.00015</w:t>
                  </w:r>
                </w:p>
              </w:tc>
              <w:tc>
                <w:tcPr>
                  <w:tcW w:w="1581" w:type="dxa"/>
                  <w:tcBorders>
                    <w:top w:val="nil"/>
                    <w:left w:val="nil"/>
                    <w:bottom w:val="single" w:color="000000" w:sz="8" w:space="0"/>
                    <w:right w:val="single" w:color="000000" w:sz="8" w:space="0"/>
                  </w:tcBorders>
                  <w:shd w:val="clear" w:color="auto" w:fill="auto"/>
                  <w:vAlign w:val="center"/>
                </w:tcPr>
                <w:p w14:paraId="4C9ACA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0.045</w:t>
                  </w:r>
                </w:p>
              </w:tc>
            </w:tr>
            <w:tr w14:paraId="42048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jc w:val="center"/>
              </w:trPr>
              <w:tc>
                <w:tcPr>
                  <w:tcW w:w="1203" w:type="dxa"/>
                  <w:vMerge w:val="continue"/>
                  <w:tcBorders>
                    <w:left w:val="single" w:color="000000" w:sz="8" w:space="0"/>
                    <w:right w:val="single" w:color="000000" w:sz="8" w:space="0"/>
                  </w:tcBorders>
                  <w:shd w:val="clear" w:color="auto" w:fill="auto"/>
                  <w:vAlign w:val="center"/>
                </w:tcPr>
                <w:p w14:paraId="07BE30B4">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296" w:type="dxa"/>
                  <w:tcBorders>
                    <w:top w:val="nil"/>
                    <w:left w:val="nil"/>
                    <w:bottom w:val="single" w:color="000000" w:sz="8" w:space="0"/>
                    <w:right w:val="single" w:color="000000" w:sz="8" w:space="0"/>
                  </w:tcBorders>
                  <w:shd w:val="clear" w:color="auto" w:fill="auto"/>
                  <w:vAlign w:val="center"/>
                </w:tcPr>
                <w:p w14:paraId="5D2A3E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BOD</w:t>
                  </w:r>
                  <w:r>
                    <w:rPr>
                      <w:rFonts w:hint="default" w:ascii="Times New Roman" w:hAnsi="Times New Roman" w:cs="Times New Roman"/>
                      <w:color w:val="000000" w:themeColor="text1"/>
                      <w:kern w:val="0"/>
                      <w:szCs w:val="21"/>
                      <w:highlight w:val="none"/>
                      <w:vertAlign w:val="subscript"/>
                      <w:lang w:bidi="ar"/>
                      <w14:textFill>
                        <w14:solidFill>
                          <w14:schemeClr w14:val="tx1"/>
                        </w14:solidFill>
                      </w14:textFill>
                    </w:rPr>
                    <w:t>5</w:t>
                  </w:r>
                </w:p>
              </w:tc>
              <w:tc>
                <w:tcPr>
                  <w:tcW w:w="1854" w:type="dxa"/>
                  <w:tcBorders>
                    <w:top w:val="nil"/>
                    <w:left w:val="nil"/>
                    <w:bottom w:val="single" w:color="000000" w:sz="8" w:space="0"/>
                    <w:right w:val="single" w:color="000000" w:sz="8" w:space="0"/>
                  </w:tcBorders>
                  <w:shd w:val="clear" w:color="auto" w:fill="auto"/>
                  <w:vAlign w:val="center"/>
                </w:tcPr>
                <w:p w14:paraId="6F8EF2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150</w:t>
                  </w:r>
                </w:p>
              </w:tc>
              <w:tc>
                <w:tcPr>
                  <w:tcW w:w="1487" w:type="dxa"/>
                  <w:tcBorders>
                    <w:top w:val="nil"/>
                    <w:left w:val="nil"/>
                    <w:bottom w:val="single" w:color="000000" w:sz="8" w:space="0"/>
                    <w:right w:val="single" w:color="000000" w:sz="8" w:space="0"/>
                  </w:tcBorders>
                  <w:shd w:val="clear" w:color="auto" w:fill="auto"/>
                  <w:vAlign w:val="center"/>
                </w:tcPr>
                <w:p w14:paraId="32526C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0.00009</w:t>
                  </w:r>
                </w:p>
              </w:tc>
              <w:tc>
                <w:tcPr>
                  <w:tcW w:w="1581" w:type="dxa"/>
                  <w:tcBorders>
                    <w:top w:val="nil"/>
                    <w:left w:val="nil"/>
                    <w:bottom w:val="single" w:color="000000" w:sz="8" w:space="0"/>
                    <w:right w:val="single" w:color="000000" w:sz="8" w:space="0"/>
                  </w:tcBorders>
                  <w:shd w:val="clear" w:color="auto" w:fill="auto"/>
                  <w:vAlign w:val="center"/>
                </w:tcPr>
                <w:p w14:paraId="6FB15B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0.027</w:t>
                  </w:r>
                </w:p>
              </w:tc>
            </w:tr>
            <w:tr w14:paraId="3629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203" w:type="dxa"/>
                  <w:vMerge w:val="continue"/>
                  <w:tcBorders>
                    <w:left w:val="single" w:color="000000" w:sz="8" w:space="0"/>
                    <w:right w:val="single" w:color="000000" w:sz="8" w:space="0"/>
                  </w:tcBorders>
                  <w:shd w:val="clear" w:color="auto" w:fill="auto"/>
                  <w:vAlign w:val="center"/>
                </w:tcPr>
                <w:p w14:paraId="510B2879">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296" w:type="dxa"/>
                  <w:tcBorders>
                    <w:top w:val="nil"/>
                    <w:left w:val="nil"/>
                    <w:bottom w:val="single" w:color="000000" w:sz="8" w:space="0"/>
                    <w:right w:val="single" w:color="000000" w:sz="8" w:space="0"/>
                  </w:tcBorders>
                  <w:shd w:val="clear" w:color="auto" w:fill="auto"/>
                  <w:vAlign w:val="center"/>
                </w:tcPr>
                <w:p w14:paraId="69F2E5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SS</w:t>
                  </w:r>
                </w:p>
              </w:tc>
              <w:tc>
                <w:tcPr>
                  <w:tcW w:w="1854" w:type="dxa"/>
                  <w:tcBorders>
                    <w:top w:val="nil"/>
                    <w:left w:val="nil"/>
                    <w:bottom w:val="single" w:color="000000" w:sz="8" w:space="0"/>
                    <w:right w:val="single" w:color="000000" w:sz="8" w:space="0"/>
                  </w:tcBorders>
                  <w:shd w:val="clear" w:color="auto" w:fill="auto"/>
                  <w:vAlign w:val="center"/>
                </w:tcPr>
                <w:p w14:paraId="3C553B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15</w:t>
                  </w:r>
                  <w:r>
                    <w:rPr>
                      <w:rFonts w:hint="default" w:ascii="Times New Roman" w:hAnsi="Times New Roman" w:cs="Times New Roman"/>
                      <w:color w:val="000000" w:themeColor="text1"/>
                      <w:kern w:val="0"/>
                      <w:szCs w:val="21"/>
                      <w:highlight w:val="none"/>
                      <w:lang w:bidi="ar"/>
                      <w14:textFill>
                        <w14:solidFill>
                          <w14:schemeClr w14:val="tx1"/>
                        </w14:solidFill>
                      </w14:textFill>
                    </w:rPr>
                    <w:t>0</w:t>
                  </w:r>
                </w:p>
              </w:tc>
              <w:tc>
                <w:tcPr>
                  <w:tcW w:w="1487" w:type="dxa"/>
                  <w:tcBorders>
                    <w:top w:val="nil"/>
                    <w:left w:val="nil"/>
                    <w:bottom w:val="single" w:color="000000" w:sz="8" w:space="0"/>
                    <w:right w:val="single" w:color="000000" w:sz="8" w:space="0"/>
                  </w:tcBorders>
                  <w:shd w:val="clear" w:color="auto" w:fill="auto"/>
                  <w:vAlign w:val="center"/>
                </w:tcPr>
                <w:p w14:paraId="27009C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0.00009</w:t>
                  </w:r>
                </w:p>
              </w:tc>
              <w:tc>
                <w:tcPr>
                  <w:tcW w:w="1581" w:type="dxa"/>
                  <w:tcBorders>
                    <w:top w:val="nil"/>
                    <w:left w:val="nil"/>
                    <w:bottom w:val="single" w:color="000000" w:sz="8" w:space="0"/>
                    <w:right w:val="single" w:color="000000" w:sz="8" w:space="0"/>
                  </w:tcBorders>
                  <w:shd w:val="clear" w:color="auto" w:fill="auto"/>
                  <w:vAlign w:val="center"/>
                </w:tcPr>
                <w:p w14:paraId="50435A0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0.027</w:t>
                  </w:r>
                </w:p>
              </w:tc>
            </w:tr>
            <w:tr w14:paraId="67559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203" w:type="dxa"/>
                  <w:vMerge w:val="continue"/>
                  <w:tcBorders>
                    <w:left w:val="single" w:color="000000" w:sz="8" w:space="0"/>
                    <w:right w:val="single" w:color="000000" w:sz="8" w:space="0"/>
                  </w:tcBorders>
                  <w:shd w:val="clear" w:color="auto" w:fill="auto"/>
                  <w:vAlign w:val="center"/>
                </w:tcPr>
                <w:p w14:paraId="2D568D77">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296" w:type="dxa"/>
                  <w:tcBorders>
                    <w:top w:val="nil"/>
                    <w:left w:val="nil"/>
                    <w:bottom w:val="single" w:color="auto" w:sz="4" w:space="0"/>
                    <w:right w:val="single" w:color="000000" w:sz="8" w:space="0"/>
                  </w:tcBorders>
                  <w:shd w:val="clear" w:color="auto" w:fill="auto"/>
                  <w:vAlign w:val="center"/>
                </w:tcPr>
                <w:p w14:paraId="5C3BAC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NH</w:t>
                  </w:r>
                  <w:r>
                    <w:rPr>
                      <w:rFonts w:hint="default" w:ascii="Times New Roman" w:hAnsi="Times New Roman" w:cs="Times New Roman"/>
                      <w:color w:val="000000" w:themeColor="text1"/>
                      <w:kern w:val="0"/>
                      <w:szCs w:val="21"/>
                      <w:highlight w:val="none"/>
                      <w:vertAlign w:val="subscript"/>
                      <w:lang w:bidi="ar"/>
                      <w14:textFill>
                        <w14:solidFill>
                          <w14:schemeClr w14:val="tx1"/>
                        </w14:solidFill>
                      </w14:textFill>
                    </w:rPr>
                    <w:t>3</w:t>
                  </w:r>
                  <w:r>
                    <w:rPr>
                      <w:rFonts w:hint="default" w:ascii="Times New Roman" w:hAnsi="Times New Roman" w:cs="Times New Roman"/>
                      <w:color w:val="000000" w:themeColor="text1"/>
                      <w:kern w:val="0"/>
                      <w:szCs w:val="21"/>
                      <w:highlight w:val="none"/>
                      <w:lang w:bidi="ar"/>
                      <w14:textFill>
                        <w14:solidFill>
                          <w14:schemeClr w14:val="tx1"/>
                        </w14:solidFill>
                      </w14:textFill>
                    </w:rPr>
                    <w:t>-N</w:t>
                  </w:r>
                </w:p>
              </w:tc>
              <w:tc>
                <w:tcPr>
                  <w:tcW w:w="1854" w:type="dxa"/>
                  <w:tcBorders>
                    <w:top w:val="nil"/>
                    <w:left w:val="nil"/>
                    <w:bottom w:val="single" w:color="auto" w:sz="4" w:space="0"/>
                    <w:right w:val="single" w:color="000000" w:sz="8" w:space="0"/>
                  </w:tcBorders>
                  <w:shd w:val="clear" w:color="auto" w:fill="auto"/>
                  <w:vAlign w:val="center"/>
                </w:tcPr>
                <w:p w14:paraId="70AAA6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30</w:t>
                  </w:r>
                </w:p>
              </w:tc>
              <w:tc>
                <w:tcPr>
                  <w:tcW w:w="1487" w:type="dxa"/>
                  <w:tcBorders>
                    <w:top w:val="nil"/>
                    <w:left w:val="nil"/>
                    <w:bottom w:val="single" w:color="auto" w:sz="4" w:space="0"/>
                    <w:right w:val="single" w:color="000000" w:sz="8" w:space="0"/>
                  </w:tcBorders>
                  <w:shd w:val="clear" w:color="auto" w:fill="auto"/>
                  <w:vAlign w:val="center"/>
                </w:tcPr>
                <w:p w14:paraId="1A3C2E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0.000018</w:t>
                  </w:r>
                </w:p>
              </w:tc>
              <w:tc>
                <w:tcPr>
                  <w:tcW w:w="1581" w:type="dxa"/>
                  <w:tcBorders>
                    <w:top w:val="nil"/>
                    <w:left w:val="nil"/>
                    <w:bottom w:val="single" w:color="auto" w:sz="4" w:space="0"/>
                    <w:right w:val="single" w:color="000000" w:sz="8" w:space="0"/>
                  </w:tcBorders>
                  <w:shd w:val="clear" w:color="auto" w:fill="auto"/>
                  <w:vAlign w:val="center"/>
                </w:tcPr>
                <w:p w14:paraId="2D7EB6D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0.0054</w:t>
                  </w:r>
                </w:p>
              </w:tc>
            </w:tr>
            <w:tr w14:paraId="669A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3" w:type="dxa"/>
                  <w:vMerge w:val="continue"/>
                  <w:tcBorders>
                    <w:left w:val="single" w:color="000000" w:sz="8" w:space="0"/>
                    <w:bottom w:val="single" w:color="000000" w:sz="8" w:space="0"/>
                    <w:right w:val="single" w:color="auto" w:sz="4" w:space="0"/>
                  </w:tcBorders>
                  <w:shd w:val="clear" w:color="auto" w:fill="auto"/>
                  <w:vAlign w:val="center"/>
                </w:tcPr>
                <w:p w14:paraId="64EEF54F">
                  <w:pPr>
                    <w:shd w:val="clear"/>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296" w:type="dxa"/>
                  <w:tcBorders>
                    <w:top w:val="single" w:color="auto" w:sz="4" w:space="0"/>
                    <w:left w:val="single" w:color="auto" w:sz="4" w:space="0"/>
                    <w:bottom w:val="single" w:color="auto" w:sz="4" w:space="0"/>
                    <w:right w:val="single" w:color="000000" w:sz="8" w:space="0"/>
                  </w:tcBorders>
                  <w:shd w:val="clear" w:color="auto" w:fill="auto"/>
                  <w:vAlign w:val="center"/>
                </w:tcPr>
                <w:p w14:paraId="6B869B1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Tp</w:t>
                  </w:r>
                </w:p>
              </w:tc>
              <w:tc>
                <w:tcPr>
                  <w:tcW w:w="1854" w:type="dxa"/>
                  <w:tcBorders>
                    <w:top w:val="single" w:color="auto" w:sz="4" w:space="0"/>
                    <w:left w:val="nil"/>
                    <w:bottom w:val="single" w:color="auto" w:sz="4" w:space="0"/>
                    <w:right w:val="single" w:color="000000" w:sz="8" w:space="0"/>
                  </w:tcBorders>
                  <w:shd w:val="clear" w:color="auto" w:fill="auto"/>
                  <w:vAlign w:val="center"/>
                </w:tcPr>
                <w:p w14:paraId="6E5F0C75">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3</w:t>
                  </w:r>
                </w:p>
              </w:tc>
              <w:tc>
                <w:tcPr>
                  <w:tcW w:w="1487" w:type="dxa"/>
                  <w:tcBorders>
                    <w:top w:val="single" w:color="auto" w:sz="4" w:space="0"/>
                    <w:left w:val="nil"/>
                    <w:bottom w:val="single" w:color="auto" w:sz="4" w:space="0"/>
                    <w:right w:val="single" w:color="000000" w:sz="8" w:space="0"/>
                  </w:tcBorders>
                  <w:shd w:val="clear" w:color="auto" w:fill="auto"/>
                  <w:vAlign w:val="center"/>
                </w:tcPr>
                <w:p w14:paraId="2E60DB39">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0.0000018</w:t>
                  </w:r>
                </w:p>
              </w:tc>
              <w:tc>
                <w:tcPr>
                  <w:tcW w:w="1581" w:type="dxa"/>
                  <w:tcBorders>
                    <w:top w:val="single" w:color="auto" w:sz="4" w:space="0"/>
                    <w:left w:val="nil"/>
                    <w:bottom w:val="single" w:color="auto" w:sz="4" w:space="0"/>
                    <w:right w:val="single" w:color="auto" w:sz="4" w:space="0"/>
                  </w:tcBorders>
                  <w:shd w:val="clear" w:color="auto" w:fill="auto"/>
                  <w:vAlign w:val="center"/>
                </w:tcPr>
                <w:p w14:paraId="3D220CD2">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0.00054</w:t>
                  </w:r>
                </w:p>
              </w:tc>
            </w:tr>
          </w:tbl>
          <w:p w14:paraId="42520AE9">
            <w:pPr>
              <w:snapToGrid w:val="0"/>
              <w:spacing w:line="360" w:lineRule="auto"/>
              <w:ind w:firstLine="422" w:firstLineChars="200"/>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环境保护措施与监测计划</w:t>
            </w:r>
          </w:p>
          <w:p w14:paraId="7923EE4F">
            <w:pPr>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项目主要排水为生活污水</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水喷淋废水、抛光</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废水</w:t>
            </w:r>
            <w:r>
              <w:rPr>
                <w:rFonts w:hint="eastAsia" w:cs="Times New Roman"/>
                <w:color w:val="000000" w:themeColor="text1"/>
                <w:szCs w:val="21"/>
                <w:highlight w:val="none"/>
                <w:lang w:val="en-US" w:eastAsia="zh-CN"/>
                <w14:textFill>
                  <w14:solidFill>
                    <w14:schemeClr w14:val="tx1"/>
                  </w14:solidFill>
                </w14:textFill>
              </w:rPr>
              <w:t>、研磨废水</w:t>
            </w:r>
            <w:r>
              <w:rPr>
                <w:rFonts w:hint="default" w:ascii="Times New Roman" w:hAnsi="Times New Roman" w:eastAsia="宋体" w:cs="Times New Roman"/>
                <w:color w:val="000000" w:themeColor="text1"/>
                <w:szCs w:val="21"/>
                <w:highlight w:val="none"/>
                <w14:textFill>
                  <w14:solidFill>
                    <w14:schemeClr w14:val="tx1"/>
                  </w14:solidFill>
                </w14:textFill>
              </w:rPr>
              <w:t>。</w:t>
            </w:r>
          </w:p>
          <w:p w14:paraId="79EEFB5B">
            <w:pPr>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项目生活污水经</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三级化粪池</w:t>
            </w:r>
            <w:r>
              <w:rPr>
                <w:rFonts w:hint="default" w:ascii="Times New Roman" w:hAnsi="Times New Roman" w:eastAsia="宋体" w:cs="Times New Roman"/>
                <w:color w:val="000000" w:themeColor="text1"/>
                <w:szCs w:val="21"/>
                <w:highlight w:val="none"/>
                <w14:textFill>
                  <w14:solidFill>
                    <w14:schemeClr w14:val="tx1"/>
                  </w14:solidFill>
                </w14:textFill>
              </w:rPr>
              <w:t>预处理后，达到广东省地方标准《水污染物排放限值》(DB44/26-2001</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第二时段三级标准经市政管网排入</w:t>
            </w:r>
            <w:r>
              <w:rPr>
                <w:rFonts w:hint="default" w:ascii="Times New Roman" w:hAnsi="Times New Roman" w:eastAsia="宋体" w:cs="Times New Roman"/>
                <w:color w:val="000000" w:themeColor="text1"/>
                <w:spacing w:val="1"/>
                <w:highlight w:val="none"/>
                <w:lang w:eastAsia="zh-CN"/>
                <w14:textFill>
                  <w14:solidFill>
                    <w14:schemeClr w14:val="tx1"/>
                  </w14:solidFill>
                </w14:textFill>
              </w:rPr>
              <w:t>中山市南朗镇水务有限公司</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水喷淋废水、抛光</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废水</w:t>
            </w:r>
            <w:r>
              <w:rPr>
                <w:rFonts w:hint="eastAsia" w:cs="Times New Roman"/>
                <w:color w:val="000000" w:themeColor="text1"/>
                <w:szCs w:val="21"/>
                <w:highlight w:val="none"/>
                <w:lang w:val="en-US" w:eastAsia="zh-CN"/>
                <w14:textFill>
                  <w14:solidFill>
                    <w14:schemeClr w14:val="tx1"/>
                  </w14:solidFill>
                </w14:textFill>
              </w:rPr>
              <w:t>、研磨废水</w:t>
            </w:r>
            <w:r>
              <w:rPr>
                <w:rFonts w:hint="default" w:ascii="Times New Roman" w:hAnsi="Times New Roman" w:eastAsia="宋体" w:cs="Times New Roman"/>
                <w:color w:val="000000" w:themeColor="text1"/>
                <w:spacing w:val="-1"/>
                <w:highlight w:val="none"/>
                <w:lang w:val="en-US" w:eastAsia="zh-CN"/>
                <w14:textFill>
                  <w14:solidFill>
                    <w14:schemeClr w14:val="tx1"/>
                  </w14:solidFill>
                </w14:textFill>
              </w:rPr>
              <w:t>定期交由有废水处理能力的公司处理，</w:t>
            </w:r>
            <w:r>
              <w:rPr>
                <w:rFonts w:hint="default" w:ascii="Times New Roman" w:hAnsi="Times New Roman" w:eastAsia="宋体" w:cs="Times New Roman"/>
                <w:color w:val="000000" w:themeColor="text1"/>
                <w:szCs w:val="21"/>
                <w:highlight w:val="none"/>
                <w14:textFill>
                  <w14:solidFill>
                    <w14:schemeClr w14:val="tx1"/>
                  </w14:solidFill>
                </w14:textFill>
              </w:rPr>
              <w:t>不设自行监测计划。</w:t>
            </w:r>
          </w:p>
          <w:p w14:paraId="4D3AF779">
            <w:pPr>
              <w:snapToGrid w:val="0"/>
              <w:spacing w:line="360" w:lineRule="auto"/>
              <w:ind w:firstLine="416" w:firstLineChars="200"/>
              <w:rPr>
                <w:rFonts w:hint="default" w:ascii="Times New Roman" w:hAnsi="Times New Roman" w:eastAsia="宋体" w:cs="Times New Roman"/>
                <w:color w:val="000000" w:themeColor="text1"/>
                <w:spacing w:val="-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highlight w:val="none"/>
                <w:lang w:val="en-US" w:eastAsia="zh-CN"/>
                <w14:textFill>
                  <w14:solidFill>
                    <w14:schemeClr w14:val="tx1"/>
                  </w14:solidFill>
                </w14:textFill>
              </w:rPr>
              <w:t>（3）与《中山市零散工业废水管理工作指引》的相符性分析</w:t>
            </w:r>
          </w:p>
          <w:p w14:paraId="2765A6FF">
            <w:pPr>
              <w:widowControl/>
              <w:numPr>
                <w:ilvl w:val="0"/>
                <w:numId w:val="0"/>
              </w:numPr>
              <w:spacing w:line="360" w:lineRule="auto"/>
              <w:contextualSpacing/>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表3</w:t>
            </w:r>
            <w:r>
              <w:rPr>
                <w:rFonts w:hint="eastAsia" w:cs="Times New Roman"/>
                <w:b/>
                <w:bCs/>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与《中山市零散工业废水管理工作指引》的相符性分析一览表</w:t>
            </w:r>
          </w:p>
          <w:tbl>
            <w:tblPr>
              <w:tblStyle w:val="34"/>
              <w:tblW w:w="7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3558"/>
              <w:gridCol w:w="2440"/>
              <w:gridCol w:w="892"/>
            </w:tblGrid>
            <w:tr w14:paraId="7320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center"/>
                </w:tcPr>
                <w:p w14:paraId="52A34B42">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bCs/>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b/>
                      <w:bCs/>
                      <w:color w:val="000000" w:themeColor="text1"/>
                      <w:spacing w:val="4"/>
                      <w:sz w:val="21"/>
                      <w:szCs w:val="21"/>
                      <w:highlight w:val="none"/>
                      <w14:textFill>
                        <w14:solidFill>
                          <w14:schemeClr w14:val="tx1"/>
                        </w14:solidFill>
                      </w14:textFill>
                    </w:rPr>
                    <w:t>项目</w:t>
                  </w:r>
                </w:p>
              </w:tc>
              <w:tc>
                <w:tcPr>
                  <w:tcW w:w="3558" w:type="dxa"/>
                  <w:noWrap w:val="0"/>
                  <w:vAlign w:val="center"/>
                </w:tcPr>
                <w:p w14:paraId="2CF1C376">
                  <w:pPr>
                    <w:pStyle w:val="75"/>
                    <w:keepNext w:val="0"/>
                    <w:keepLines w:val="0"/>
                    <w:pageBreakBefore w:val="0"/>
                    <w:widowControl w:val="0"/>
                    <w:kinsoku/>
                    <w:wordWrap/>
                    <w:overflowPunct/>
                    <w:topLinePunct w:val="0"/>
                    <w:autoSpaceDE/>
                    <w:autoSpaceDN/>
                    <w:bidi w:val="0"/>
                    <w:adjustRightInd/>
                    <w:snapToGrid/>
                    <w:spacing w:line="228" w:lineRule="auto"/>
                    <w:ind w:left="0"/>
                    <w:jc w:val="center"/>
                    <w:textAlignment w:val="auto"/>
                    <w:rPr>
                      <w:rFonts w:hint="default" w:ascii="Times New Roman" w:hAnsi="Times New Roman" w:eastAsia="宋体" w:cs="Times New Roman"/>
                      <w:b/>
                      <w:bCs/>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b/>
                      <w:bCs/>
                      <w:color w:val="000000" w:themeColor="text1"/>
                      <w:spacing w:val="-7"/>
                      <w:sz w:val="21"/>
                      <w:szCs w:val="21"/>
                      <w:highlight w:val="none"/>
                      <w14:textFill>
                        <w14:solidFill>
                          <w14:schemeClr w14:val="tx1"/>
                        </w14:solidFill>
                      </w14:textFill>
                    </w:rPr>
                    <w:t>内容</w:t>
                  </w:r>
                </w:p>
              </w:tc>
              <w:tc>
                <w:tcPr>
                  <w:tcW w:w="2440" w:type="dxa"/>
                  <w:noWrap w:val="0"/>
                  <w:vAlign w:val="center"/>
                </w:tcPr>
                <w:p w14:paraId="3B0263DA">
                  <w:pPr>
                    <w:pStyle w:val="75"/>
                    <w:keepNext w:val="0"/>
                    <w:keepLines w:val="0"/>
                    <w:pageBreakBefore w:val="0"/>
                    <w:widowControl w:val="0"/>
                    <w:kinsoku/>
                    <w:wordWrap/>
                    <w:overflowPunct/>
                    <w:topLinePunct w:val="0"/>
                    <w:autoSpaceDE/>
                    <w:autoSpaceDN/>
                    <w:bidi w:val="0"/>
                    <w:adjustRightInd/>
                    <w:snapToGrid/>
                    <w:spacing w:line="227" w:lineRule="auto"/>
                    <w:ind w:left="0" w:leftChars="0"/>
                    <w:jc w:val="center"/>
                    <w:textAlignment w:val="auto"/>
                    <w:rPr>
                      <w:rFonts w:hint="default" w:ascii="Times New Roman" w:hAnsi="Times New Roman" w:eastAsia="宋体" w:cs="Times New Roman"/>
                      <w:b/>
                      <w:bCs/>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b/>
                      <w:bCs/>
                      <w:color w:val="000000" w:themeColor="text1"/>
                      <w:spacing w:val="7"/>
                      <w:sz w:val="21"/>
                      <w:szCs w:val="21"/>
                      <w:highlight w:val="none"/>
                      <w14:textFill>
                        <w14:solidFill>
                          <w14:schemeClr w14:val="tx1"/>
                        </w14:solidFill>
                      </w14:textFill>
                    </w:rPr>
                    <w:t>本项目</w:t>
                  </w:r>
                </w:p>
              </w:tc>
              <w:tc>
                <w:tcPr>
                  <w:tcW w:w="892" w:type="dxa"/>
                  <w:noWrap w:val="0"/>
                  <w:vAlign w:val="center"/>
                </w:tcPr>
                <w:p w14:paraId="4B4287E5">
                  <w:pPr>
                    <w:pStyle w:val="75"/>
                    <w:keepNext w:val="0"/>
                    <w:keepLines w:val="0"/>
                    <w:pageBreakBefore w:val="0"/>
                    <w:widowControl w:val="0"/>
                    <w:kinsoku/>
                    <w:wordWrap/>
                    <w:overflowPunct/>
                    <w:topLinePunct w:val="0"/>
                    <w:autoSpaceDE/>
                    <w:autoSpaceDN/>
                    <w:bidi w:val="0"/>
                    <w:adjustRightInd/>
                    <w:snapToGrid/>
                    <w:spacing w:line="228" w:lineRule="auto"/>
                    <w:ind w:left="0"/>
                    <w:jc w:val="center"/>
                    <w:textAlignment w:val="auto"/>
                    <w:rPr>
                      <w:rFonts w:hint="default" w:ascii="Times New Roman" w:hAnsi="Times New Roman" w:eastAsia="宋体" w:cs="Times New Roman"/>
                      <w:b/>
                      <w:bCs/>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b/>
                      <w:bCs/>
                      <w:color w:val="000000" w:themeColor="text1"/>
                      <w:spacing w:val="7"/>
                      <w:sz w:val="21"/>
                      <w:szCs w:val="21"/>
                      <w:highlight w:val="none"/>
                      <w14:textFill>
                        <w14:solidFill>
                          <w14:schemeClr w14:val="tx1"/>
                        </w14:solidFill>
                      </w14:textFill>
                    </w:rPr>
                    <w:t>相符性</w:t>
                  </w:r>
                </w:p>
              </w:tc>
            </w:tr>
            <w:tr w14:paraId="1DEE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restart"/>
                  <w:noWrap w:val="0"/>
                  <w:vAlign w:val="center"/>
                </w:tcPr>
                <w:p w14:paraId="56FB9820">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生态环境局关于印发《中山市零散工业废水管理工作指引》的函（中环函【2023】141号）</w:t>
                  </w:r>
                </w:p>
              </w:tc>
              <w:tc>
                <w:tcPr>
                  <w:tcW w:w="3558" w:type="dxa"/>
                  <w:noWrap w:val="0"/>
                  <w:vAlign w:val="center"/>
                </w:tcPr>
                <w:p w14:paraId="2869AB0F">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管道、储存设施建设要求：零散工业废水的储存设施的建造位置应当便于转移运输和观察水位，设施底部和外围及四周应当做好防渗漏、防溢出措施，储存容积原则上不得小于满负荷生产时连续5日的废水产生量；废水道应当以明管的形式与零散工业废水储存设施直接连通；若部分零散工业废水需回用的，应另行设置回用水暂存设施，不得与零散工业废水储存设施连通。</w:t>
                  </w:r>
                </w:p>
              </w:tc>
              <w:tc>
                <w:tcPr>
                  <w:tcW w:w="2440" w:type="dxa"/>
                  <w:noWrap w:val="0"/>
                  <w:vAlign w:val="center"/>
                </w:tcPr>
                <w:p w14:paraId="244F31E0">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企业生产废水委托给有处理能力的废水处理机构处理，生产废水暂存于暂存</w:t>
                  </w:r>
                  <w:r>
                    <w:rPr>
                      <w:rFonts w:hint="eastAsia" w:cs="Times New Roman"/>
                      <w:color w:val="000000" w:themeColor="text1"/>
                      <w:kern w:val="0"/>
                      <w:sz w:val="21"/>
                      <w:szCs w:val="21"/>
                      <w:highlight w:val="none"/>
                      <w:lang w:val="en-US" w:eastAsia="zh-CN" w:bidi="ar"/>
                      <w14:textFill>
                        <w14:solidFill>
                          <w14:schemeClr w14:val="tx1"/>
                        </w14:solidFill>
                      </w14:textFill>
                    </w:rPr>
                    <w:t>桶</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内，不涉及废水回用。</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项目设有废水暂存设施约</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5</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立方米，项目</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生产</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废水</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产生量约</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为</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0.0708</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t</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/d</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，不小于</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满负荷生产时连续5日</w:t>
                  </w:r>
                  <w:r>
                    <w:rPr>
                      <w:rFonts w:hint="eastAsia" w:cs="Times New Roman"/>
                      <w:color w:val="000000" w:themeColor="text1"/>
                      <w:kern w:val="0"/>
                      <w:sz w:val="21"/>
                      <w:szCs w:val="21"/>
                      <w:highlight w:val="none"/>
                      <w:lang w:val="en-US" w:eastAsia="zh-CN" w:bidi="ar"/>
                      <w14:textFill>
                        <w14:solidFill>
                          <w14:schemeClr w14:val="tx1"/>
                        </w14:solidFill>
                      </w14:textFill>
                    </w:rPr>
                    <w:t>（合计0.354t/5d）</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的废水产生量</w:t>
                  </w:r>
                  <w:r>
                    <w:rPr>
                      <w:rFonts w:hint="eastAsia" w:cs="Times New Roman"/>
                      <w:color w:val="000000" w:themeColor="text1"/>
                      <w:kern w:val="0"/>
                      <w:sz w:val="21"/>
                      <w:szCs w:val="21"/>
                      <w:highlight w:val="none"/>
                      <w:lang w:val="en-US" w:eastAsia="zh-CN" w:bidi="ar"/>
                      <w14:textFill>
                        <w14:solidFill>
                          <w14:schemeClr w14:val="tx1"/>
                        </w14:solidFill>
                      </w14:textFill>
                    </w:rPr>
                    <w:t>。</w:t>
                  </w:r>
                </w:p>
              </w:tc>
              <w:tc>
                <w:tcPr>
                  <w:tcW w:w="892" w:type="dxa"/>
                  <w:noWrap w:val="0"/>
                  <w:vAlign w:val="center"/>
                </w:tcPr>
                <w:p w14:paraId="275F53AE">
                  <w:pPr>
                    <w:pStyle w:val="48"/>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相符</w:t>
                  </w:r>
                </w:p>
              </w:tc>
            </w:tr>
            <w:tr w14:paraId="2882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437BE449">
                  <w:pPr>
                    <w:pStyle w:val="48"/>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3558" w:type="dxa"/>
                  <w:noWrap w:val="0"/>
                  <w:vAlign w:val="center"/>
                </w:tcPr>
                <w:p w14:paraId="49F36DC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废水储存管理要求：</w:t>
                  </w:r>
                </w:p>
                <w:p w14:paraId="5B10DEB0">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零散工业废水产生单位应定期观察储存设施的水位情况，当储存水量超过最大容积量80%或剩余储存量不足2天正常生产产水量时，需及时联系零散工业废水接收单位转移。如遇零散工业废水接收单位无故拒绝收运的，应及时向属地生态环境部门反馈。</w:t>
                  </w:r>
                </w:p>
              </w:tc>
              <w:tc>
                <w:tcPr>
                  <w:tcW w:w="2440" w:type="dxa"/>
                  <w:noWrap w:val="0"/>
                  <w:vAlign w:val="center"/>
                </w:tcPr>
                <w:p w14:paraId="7459018E">
                  <w:pPr>
                    <w:pStyle w:val="32"/>
                    <w:spacing w:after="0"/>
                    <w:ind w:left="0" w:leftChars="0" w:firstLine="0" w:firstLineChars="0"/>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项目设有废水暂存设施约</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5</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立方米，项目</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生产</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废水</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产生量约</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为</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0.0708</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t</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/d</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（每</w:t>
                  </w:r>
                  <w:r>
                    <w:rPr>
                      <w:rFonts w:hint="eastAsia"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50天</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更换一次）</w:t>
                  </w: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废水桶带有刻度线，方便观察废水桶内废水储存量，地面防渗，并在废水桶周边设备围堰，定期对废水桶进行检查，防止废水滴、漏、渗、溢。</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生产废水（水喷淋废水、抛光</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废水</w:t>
                  </w: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、研磨废水</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）委托</w:t>
                  </w:r>
                  <w:r>
                    <w:rPr>
                      <w:rFonts w:hint="default" w:ascii="Times New Roman" w:hAnsi="Times New Roman" w:eastAsia="宋体" w:cs="Times New Roman"/>
                      <w:color w:val="000000" w:themeColor="text1"/>
                      <w:sz w:val="21"/>
                      <w:szCs w:val="21"/>
                      <w:highlight w:val="none"/>
                      <w14:textFill>
                        <w14:solidFill>
                          <w14:schemeClr w14:val="tx1"/>
                        </w14:solidFill>
                      </w14:textFill>
                    </w:rPr>
                    <w:t>给有处理能力的废水处理机构</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。设置专人负责废水转运事宜。</w:t>
                  </w:r>
                </w:p>
              </w:tc>
              <w:tc>
                <w:tcPr>
                  <w:tcW w:w="892" w:type="dxa"/>
                  <w:noWrap w:val="0"/>
                  <w:vAlign w:val="center"/>
                </w:tcPr>
                <w:p w14:paraId="78F87081">
                  <w:pPr>
                    <w:pStyle w:val="48"/>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相符</w:t>
                  </w:r>
                </w:p>
              </w:tc>
            </w:tr>
            <w:tr w14:paraId="663C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18E34096">
                  <w:pPr>
                    <w:pStyle w:val="48"/>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3558" w:type="dxa"/>
                  <w:noWrap w:val="0"/>
                  <w:vAlign w:val="center"/>
                </w:tcPr>
                <w:p w14:paraId="20CDB916">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计量设备安装要求：</w:t>
                  </w:r>
                </w:p>
                <w:p w14:paraId="6E922BC9">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零散工业废水产生单位应对产生零散废水的工序安装独立的工业用水水表，不与生活用水水表混合使用；在储存设施中安装水量计量装置，监控储存设施的液位情况，如有多个储存设施，每个设施均需安装水量计量装置；在适当位置安装视频监控，要求可以清晰看出储存设施及其周边环境情况。所有计量监控设施预留与生态环境部门进行数据联网的接口，计量设备及联网应满足中山市生态环境局关于印发《2023年中山市重点单位非浓度自动监控设备安装联网工作方案》的通知中技术指南的要求</w:t>
                  </w:r>
                </w:p>
              </w:tc>
              <w:tc>
                <w:tcPr>
                  <w:tcW w:w="2440" w:type="dxa"/>
                  <w:noWrap w:val="0"/>
                  <w:vAlign w:val="center"/>
                </w:tcPr>
                <w:p w14:paraId="35083B11">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企业安装有单独的生产用水水表，废水桶均有液位刻度线，企业在废水桶储存区安装摄像头对废水桶进行监控，并预留与生态环境部门进行数据联网的接口</w:t>
                  </w:r>
                </w:p>
              </w:tc>
              <w:tc>
                <w:tcPr>
                  <w:tcW w:w="892" w:type="dxa"/>
                  <w:noWrap w:val="0"/>
                  <w:vAlign w:val="center"/>
                </w:tcPr>
                <w:p w14:paraId="3AA805AA">
                  <w:pPr>
                    <w:pStyle w:val="48"/>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相符</w:t>
                  </w:r>
                </w:p>
              </w:tc>
            </w:tr>
            <w:tr w14:paraId="57FB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3A622222">
                  <w:pPr>
                    <w:pStyle w:val="48"/>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3558" w:type="dxa"/>
                  <w:noWrap w:val="0"/>
                  <w:vAlign w:val="center"/>
                </w:tcPr>
                <w:p w14:paraId="69A76D94">
                  <w:pPr>
                    <w:keepNext w:val="0"/>
                    <w:keepLines w:val="0"/>
                    <w:widowControl/>
                    <w:suppressLineNumbers w:val="0"/>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转移联单管理要求：</w:t>
                  </w:r>
                </w:p>
                <w:p w14:paraId="7695493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零散工业废水接收单位和产生单位应建立转移联单管理制度。零散工业废水接收单位根据联单模板制作《零散工业废水转移联单》（详见附件2），原件一式两份，在接收零散工业废水时，与零散工业废水产生单位核对转移量、转移时间等，填写转移联单。转移联单第一联和第二联副联由零散工业废水产生单位和接收单位分别自留存档</w:t>
                  </w:r>
                </w:p>
              </w:tc>
              <w:tc>
                <w:tcPr>
                  <w:tcW w:w="2440" w:type="dxa"/>
                  <w:noWrap w:val="0"/>
                  <w:vAlign w:val="center"/>
                </w:tcPr>
                <w:p w14:paraId="03AFE9B0">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废水转移单位在转移废水时根据要求出具《零散工业废水转移联单》</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并按要求填写相关信息，一式两份，企业和转移单位各自保留存档</w:t>
                  </w: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892" w:type="dxa"/>
                  <w:noWrap w:val="0"/>
                  <w:vAlign w:val="center"/>
                </w:tcPr>
                <w:p w14:paraId="1CFF13E6">
                  <w:pPr>
                    <w:pStyle w:val="48"/>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相符</w:t>
                  </w:r>
                </w:p>
              </w:tc>
            </w:tr>
            <w:tr w14:paraId="2BA0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21E8A86E">
                  <w:pPr>
                    <w:pStyle w:val="48"/>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3558" w:type="dxa"/>
                  <w:noWrap w:val="0"/>
                  <w:vAlign w:val="center"/>
                </w:tcPr>
                <w:p w14:paraId="78FF8B05">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废水管理台账</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p w14:paraId="03F1A480">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零散工业废水接收单位和产生单位应建立零散工业废水管理台账。其中，接收单位应建立零散工业废水管理台账，如实、完整、准确记录废水产生单位名称、废水类型、收运人员、收运水量、运输车辆等台账信息，并每月汇总情况填写《零散工业废水接收单位废水接收台账月报表》（详见附件3）；产生单位应建立零散工业废水管理台账，如实记录日生产用水量、日废水产生量、日存储废水量与转移量和转移时间等台账信息，并每月汇总情况填写《零散工业废水产生单位废水产生转移台账月报表》</w:t>
                  </w:r>
                </w:p>
              </w:tc>
              <w:tc>
                <w:tcPr>
                  <w:tcW w:w="2440" w:type="dxa"/>
                  <w:noWrap w:val="0"/>
                  <w:vAlign w:val="center"/>
                </w:tcPr>
                <w:p w14:paraId="676C4A0C">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企业建立生产废水管理台账，对每天生产用水量、废水产生量、废水储存量和转移量、转移时间进行记录，并每月填写《零散工业废水接收单位废水接收台账月报表》，报表企业存档保留。</w:t>
                  </w:r>
                </w:p>
              </w:tc>
              <w:tc>
                <w:tcPr>
                  <w:tcW w:w="892" w:type="dxa"/>
                  <w:noWrap w:val="0"/>
                  <w:vAlign w:val="center"/>
                </w:tcPr>
                <w:p w14:paraId="6B9238DC">
                  <w:pPr>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相符</w:t>
                  </w:r>
                </w:p>
              </w:tc>
            </w:tr>
            <w:tr w14:paraId="5FB8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638F07D9">
                  <w:pPr>
                    <w:pStyle w:val="48"/>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3558" w:type="dxa"/>
                  <w:noWrap w:val="0"/>
                  <w:vAlign w:val="center"/>
                </w:tcPr>
                <w:p w14:paraId="7D52493E">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应急管理</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p w14:paraId="174B8F62">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零散工业废水接收单位应编制、备案突发环境事件应急预案，建立环境风险隐患排查制度，落实环境风险防范措施，建立完善的生产管理体系，做好零散工业废水收集处理的运营、应急和安全等管理工作。</w:t>
                  </w:r>
                </w:p>
                <w:p w14:paraId="06BEF535">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零散工业废水产生单位应将零散工业废水收集、储存的运营、应急和安全等管理工作纳入企业突发环境事件应急预案，建立环境风险隐患排查制度，落实环境风险防范措施，建立完善的生产管理体系</w:t>
                  </w:r>
                </w:p>
              </w:tc>
              <w:tc>
                <w:tcPr>
                  <w:tcW w:w="2440" w:type="dxa"/>
                  <w:noWrap w:val="0"/>
                  <w:vAlign w:val="center"/>
                </w:tcPr>
                <w:p w14:paraId="11D9476B">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企业建立生产废水泄漏环境风险隐患排查制度，落实环境风险防范措施，建立完善的生产管理体系。</w:t>
                  </w:r>
                </w:p>
              </w:tc>
              <w:tc>
                <w:tcPr>
                  <w:tcW w:w="892" w:type="dxa"/>
                  <w:noWrap w:val="0"/>
                  <w:vAlign w:val="center"/>
                </w:tcPr>
                <w:p w14:paraId="2BD3C6DB">
                  <w:pPr>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相符</w:t>
                  </w:r>
                </w:p>
              </w:tc>
            </w:tr>
            <w:tr w14:paraId="4324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noWrap w:val="0"/>
                  <w:vAlign w:val="center"/>
                </w:tcPr>
                <w:p w14:paraId="321BDCC3">
                  <w:pPr>
                    <w:pStyle w:val="48"/>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3558" w:type="dxa"/>
                  <w:noWrap w:val="0"/>
                  <w:vAlign w:val="center"/>
                </w:tcPr>
                <w:p w14:paraId="7E57D75C">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信息报送</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p w14:paraId="6A205BE4">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零散工业废水产生单位每月10日前将上月的《零散工业废水产生单位废水产生转移台账月报表》报送所在镇街生态环境部门。</w:t>
                  </w:r>
                </w:p>
                <w:p w14:paraId="578CE1BB">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零散工业废水接收单位每月10日前将上月的《零散工业废水接收单位废水接收台账月报表》报送所在镇街生态环境部门，并抄报市生态环境局。</w:t>
                  </w:r>
                </w:p>
                <w:p w14:paraId="426059CF">
                  <w:pPr>
                    <w:pStyle w:val="7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市生态环境局按信息化建设要求推进零散工业废水监管平台的建设，待监管平台建成启用后，相应信息报送要求按照平台管理要求进行</w:t>
                  </w:r>
                </w:p>
              </w:tc>
              <w:tc>
                <w:tcPr>
                  <w:tcW w:w="2440" w:type="dxa"/>
                  <w:noWrap w:val="0"/>
                  <w:vAlign w:val="center"/>
                </w:tcPr>
                <w:p w14:paraId="2F75FB09">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企业每月10日前将上月的《零散工业废水产生单位废水产生转移台账月报表》报送所在镇街生态环境部门。</w:t>
                  </w:r>
                </w:p>
              </w:tc>
              <w:tc>
                <w:tcPr>
                  <w:tcW w:w="892" w:type="dxa"/>
                  <w:noWrap w:val="0"/>
                  <w:vAlign w:val="center"/>
                </w:tcPr>
                <w:p w14:paraId="10C79119">
                  <w:pPr>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相符</w:t>
                  </w:r>
                </w:p>
              </w:tc>
            </w:tr>
          </w:tbl>
          <w:p w14:paraId="5C7EA2A6">
            <w:pPr>
              <w:shd w:val="clear"/>
              <w:spacing w:line="360" w:lineRule="auto"/>
              <w:ind w:firstLine="442" w:firstLineChars="200"/>
              <w:jc w:val="both"/>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val="0"/>
                <w:color w:val="000000" w:themeColor="text1"/>
                <w:spacing w:val="-10"/>
                <w:kern w:val="2"/>
                <w:sz w:val="24"/>
                <w:szCs w:val="24"/>
                <w:highlight w:val="none"/>
                <w:lang w:val="en-US" w:eastAsia="zh-CN" w:bidi="ar-SA"/>
                <w14:textFill>
                  <w14:solidFill>
                    <w14:schemeClr w14:val="tx1"/>
                  </w14:solidFill>
                </w14:textFill>
              </w:rPr>
              <w:t>三、噪声</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影响分析</w:t>
            </w:r>
          </w:p>
          <w:p w14:paraId="533D1351">
            <w:pPr>
              <w:shd w:val="clear"/>
              <w:spacing w:line="360" w:lineRule="auto"/>
              <w:ind w:firstLine="420" w:firstLineChars="200"/>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项目的主要噪声为：</w:t>
            </w:r>
            <w:r>
              <w:rPr>
                <w:rFonts w:hint="default" w:ascii="Times New Roman" w:hAnsi="Times New Roman" w:eastAsia="宋体" w:cs="Times New Roman"/>
                <w:color w:val="000000" w:themeColor="text1"/>
                <w:sz w:val="21"/>
                <w:szCs w:val="21"/>
                <w:highlight w:val="none"/>
                <w14:textFill>
                  <w14:solidFill>
                    <w14:schemeClr w14:val="tx1"/>
                  </w14:solidFill>
                </w14:textFill>
              </w:rPr>
              <w:t>项目生产设备运行时产生的噪声约</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70-</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85</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dB</w:t>
            </w:r>
            <w:r>
              <w:rPr>
                <w:rFonts w:hint="default" w:ascii="Times New Roman" w:hAnsi="Times New Roman" w:eastAsia="宋体" w:cs="Times New Roman"/>
                <w:color w:val="000000" w:themeColor="text1"/>
                <w:sz w:val="21"/>
                <w:szCs w:val="21"/>
                <w:highlight w:val="none"/>
                <w14:textFill>
                  <w14:solidFill>
                    <w14:schemeClr w14:val="tx1"/>
                  </w14:solidFill>
                </w14:textFill>
              </w:rPr>
              <w:t>(A)；</w:t>
            </w:r>
          </w:p>
          <w:p w14:paraId="6406F19B">
            <w:pPr>
              <w:shd w:val="clear"/>
              <w:spacing w:line="360" w:lineRule="auto"/>
              <w:ind w:firstLine="420" w:firstLineChars="200"/>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原料和成品的搬运过程中会产生约65-75dB(A)之间的交通噪声。</w:t>
            </w:r>
          </w:p>
          <w:p w14:paraId="1D3B2DA3">
            <w:pPr>
              <w:widowControl/>
              <w:numPr>
                <w:ilvl w:val="0"/>
                <w:numId w:val="0"/>
              </w:numPr>
              <w:shd w:val="clear"/>
              <w:spacing w:line="360" w:lineRule="auto"/>
              <w:ind w:left="0" w:leftChars="0" w:firstLine="0" w:firstLineChars="0"/>
              <w:contextualSpacing/>
              <w:jc w:val="center"/>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表3</w:t>
            </w:r>
            <w:r>
              <w:rPr>
                <w:rFonts w:hint="eastAsia" w:cs="Times New Roman"/>
                <w:b/>
                <w:bCs/>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项目主要产噪设备源强一览表</w:t>
            </w:r>
          </w:p>
          <w:tbl>
            <w:tblPr>
              <w:tblStyle w:val="33"/>
              <w:tblW w:w="46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0"/>
              <w:gridCol w:w="1889"/>
              <w:gridCol w:w="2023"/>
              <w:gridCol w:w="1678"/>
            </w:tblGrid>
            <w:tr w14:paraId="3CD9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123F9BC7">
                  <w:pPr>
                    <w:pStyle w:val="32"/>
                    <w:shd w:val="clear"/>
                    <w:tabs>
                      <w:tab w:val="left" w:pos="437"/>
                    </w:tabs>
                    <w:spacing w:after="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设备名称</w:t>
                  </w:r>
                </w:p>
              </w:tc>
              <w:tc>
                <w:tcPr>
                  <w:tcW w:w="1209" w:type="pct"/>
                  <w:noWrap w:val="0"/>
                  <w:vAlign w:val="center"/>
                </w:tcPr>
                <w:p w14:paraId="6FAFE99A">
                  <w:pPr>
                    <w:pStyle w:val="32"/>
                    <w:shd w:val="clear"/>
                    <w:tabs>
                      <w:tab w:val="left" w:pos="437"/>
                    </w:tabs>
                    <w:spacing w:after="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设备数量（台）</w:t>
                  </w:r>
                </w:p>
              </w:tc>
              <w:tc>
                <w:tcPr>
                  <w:tcW w:w="1295" w:type="pct"/>
                  <w:noWrap w:val="0"/>
                  <w:vAlign w:val="center"/>
                </w:tcPr>
                <w:p w14:paraId="721B25E7">
                  <w:pPr>
                    <w:pStyle w:val="32"/>
                    <w:shd w:val="clear"/>
                    <w:tabs>
                      <w:tab w:val="left" w:pos="437"/>
                    </w:tabs>
                    <w:spacing w:after="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单台设备噪声源强dB（A）</w:t>
                  </w:r>
                </w:p>
              </w:tc>
              <w:tc>
                <w:tcPr>
                  <w:tcW w:w="1074" w:type="pct"/>
                  <w:noWrap w:val="0"/>
                  <w:vAlign w:val="center"/>
                </w:tcPr>
                <w:p w14:paraId="0C6F1CF7">
                  <w:pPr>
                    <w:pStyle w:val="32"/>
                    <w:shd w:val="clear"/>
                    <w:tabs>
                      <w:tab w:val="left" w:pos="437"/>
                    </w:tabs>
                    <w:spacing w:after="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备注</w:t>
                  </w:r>
                </w:p>
              </w:tc>
            </w:tr>
            <w:tr w14:paraId="1848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1421" w:type="pct"/>
                  <w:noWrap w:val="0"/>
                  <w:vAlign w:val="center"/>
                </w:tcPr>
                <w:p w14:paraId="464E7FD2">
                  <w:pPr>
                    <w:shd w:val="clear" w:color="auto"/>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压铸机</w:t>
                  </w:r>
                </w:p>
              </w:tc>
              <w:tc>
                <w:tcPr>
                  <w:tcW w:w="1209" w:type="pct"/>
                  <w:noWrap w:val="0"/>
                  <w:vAlign w:val="center"/>
                </w:tcPr>
                <w:p w14:paraId="72E8730B">
                  <w:pPr>
                    <w:shd w:val="clear"/>
                    <w:tabs>
                      <w:tab w:val="left" w:pos="1443"/>
                    </w:tabs>
                    <w:spacing w:line="240" w:lineRule="auto"/>
                    <w:jc w:val="center"/>
                    <w:rPr>
                      <w:rFonts w:hint="default"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5</w:t>
                  </w:r>
                </w:p>
              </w:tc>
              <w:tc>
                <w:tcPr>
                  <w:tcW w:w="1295" w:type="pct"/>
                  <w:noWrap w:val="0"/>
                  <w:vAlign w:val="center"/>
                </w:tcPr>
                <w:p w14:paraId="55F063B0">
                  <w:pPr>
                    <w:shd w:val="clear"/>
                    <w:tabs>
                      <w:tab w:val="left" w:pos="1443"/>
                    </w:tabs>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75</w:t>
                  </w:r>
                </w:p>
              </w:tc>
              <w:tc>
                <w:tcPr>
                  <w:tcW w:w="1074" w:type="pct"/>
                  <w:vMerge w:val="restart"/>
                  <w:noWrap w:val="0"/>
                  <w:vAlign w:val="center"/>
                </w:tcPr>
                <w:p w14:paraId="2CFE8362">
                  <w:pPr>
                    <w:shd w:val="clear"/>
                    <w:tabs>
                      <w:tab w:val="left" w:pos="1443"/>
                    </w:tabs>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室内</w:t>
                  </w:r>
                </w:p>
              </w:tc>
            </w:tr>
            <w:tr w14:paraId="31C8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3CD20118">
                  <w:pPr>
                    <w:shd w:val="clear"/>
                    <w:spacing w:line="240" w:lineRule="auto"/>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熔炉</w:t>
                  </w:r>
                </w:p>
              </w:tc>
              <w:tc>
                <w:tcPr>
                  <w:tcW w:w="1209" w:type="pct"/>
                  <w:noWrap w:val="0"/>
                  <w:vAlign w:val="center"/>
                </w:tcPr>
                <w:p w14:paraId="6472F59C">
                  <w:pPr>
                    <w:shd w:val="clear"/>
                    <w:tabs>
                      <w:tab w:val="left" w:pos="1443"/>
                    </w:tabs>
                    <w:spacing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w:t>
                  </w:r>
                </w:p>
              </w:tc>
              <w:tc>
                <w:tcPr>
                  <w:tcW w:w="1295" w:type="pct"/>
                  <w:noWrap w:val="0"/>
                  <w:vAlign w:val="center"/>
                </w:tcPr>
                <w:p w14:paraId="0FDCB520">
                  <w:pPr>
                    <w:shd w:val="clear"/>
                    <w:tabs>
                      <w:tab w:val="left" w:pos="1443"/>
                    </w:tabs>
                    <w:spacing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70</w:t>
                  </w:r>
                </w:p>
              </w:tc>
              <w:tc>
                <w:tcPr>
                  <w:tcW w:w="1074" w:type="pct"/>
                  <w:vMerge w:val="continue"/>
                  <w:noWrap w:val="0"/>
                  <w:vAlign w:val="center"/>
                </w:tcPr>
                <w:p w14:paraId="57D9B9AC">
                  <w:pPr>
                    <w:shd w:val="clear"/>
                    <w:tabs>
                      <w:tab w:val="left" w:pos="1443"/>
                    </w:tabs>
                    <w:spacing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p>
              </w:tc>
            </w:tr>
            <w:tr w14:paraId="7B54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5184031E">
                  <w:pPr>
                    <w:shd w:val="clear"/>
                    <w:spacing w:line="240" w:lineRule="auto"/>
                    <w:jc w:val="center"/>
                    <w:rPr>
                      <w:rFonts w:hint="default" w:ascii="Times New Roman" w:hAnsi="Times New Roman"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t>冷却塔</w:t>
                  </w:r>
                </w:p>
              </w:tc>
              <w:tc>
                <w:tcPr>
                  <w:tcW w:w="1209" w:type="pct"/>
                  <w:noWrap w:val="0"/>
                  <w:vAlign w:val="center"/>
                </w:tcPr>
                <w:p w14:paraId="1C0A9D58">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295" w:type="pct"/>
                  <w:noWrap w:val="0"/>
                  <w:vAlign w:val="center"/>
                </w:tcPr>
                <w:p w14:paraId="4CA3CEA7">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85</w:t>
                  </w:r>
                </w:p>
              </w:tc>
              <w:tc>
                <w:tcPr>
                  <w:tcW w:w="1074" w:type="pct"/>
                  <w:vMerge w:val="continue"/>
                  <w:noWrap w:val="0"/>
                  <w:vAlign w:val="center"/>
                </w:tcPr>
                <w:p w14:paraId="5BA03360">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7441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2163AC4F">
                  <w:pPr>
                    <w:shd w:val="clear"/>
                    <w:spacing w:line="240" w:lineRule="auto"/>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t>抛光机</w:t>
                  </w:r>
                </w:p>
              </w:tc>
              <w:tc>
                <w:tcPr>
                  <w:tcW w:w="1209" w:type="pct"/>
                  <w:noWrap w:val="0"/>
                  <w:vAlign w:val="center"/>
                </w:tcPr>
                <w:p w14:paraId="1C22C350">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w:t>
                  </w:r>
                </w:p>
              </w:tc>
              <w:tc>
                <w:tcPr>
                  <w:tcW w:w="1295" w:type="pct"/>
                  <w:noWrap w:val="0"/>
                  <w:vAlign w:val="center"/>
                </w:tcPr>
                <w:p w14:paraId="3E864E4C">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80</w:t>
                  </w:r>
                </w:p>
              </w:tc>
              <w:tc>
                <w:tcPr>
                  <w:tcW w:w="1074" w:type="pct"/>
                  <w:vMerge w:val="continue"/>
                  <w:noWrap w:val="0"/>
                  <w:vAlign w:val="center"/>
                </w:tcPr>
                <w:p w14:paraId="19952CF0">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085E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21" w:type="pct"/>
                  <w:noWrap w:val="0"/>
                  <w:vAlign w:val="center"/>
                </w:tcPr>
                <w:p w14:paraId="3ED8961B">
                  <w:pPr>
                    <w:widowControl/>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钻孔攻牙机</w:t>
                  </w:r>
                </w:p>
              </w:tc>
              <w:tc>
                <w:tcPr>
                  <w:tcW w:w="1209" w:type="pct"/>
                  <w:noWrap w:val="0"/>
                  <w:vAlign w:val="center"/>
                </w:tcPr>
                <w:p w14:paraId="38A89A07">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w:t>
                  </w:r>
                </w:p>
              </w:tc>
              <w:tc>
                <w:tcPr>
                  <w:tcW w:w="1295" w:type="pct"/>
                  <w:noWrap w:val="0"/>
                  <w:vAlign w:val="center"/>
                </w:tcPr>
                <w:p w14:paraId="1BD55722">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75</w:t>
                  </w:r>
                </w:p>
              </w:tc>
              <w:tc>
                <w:tcPr>
                  <w:tcW w:w="1074" w:type="pct"/>
                  <w:vMerge w:val="continue"/>
                  <w:noWrap w:val="0"/>
                  <w:vAlign w:val="center"/>
                </w:tcPr>
                <w:p w14:paraId="1B26AADE">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1E93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7F774CF0">
                  <w:pPr>
                    <w:widowControl/>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铣床</w:t>
                  </w:r>
                </w:p>
              </w:tc>
              <w:tc>
                <w:tcPr>
                  <w:tcW w:w="1209" w:type="pct"/>
                  <w:noWrap w:val="0"/>
                  <w:vAlign w:val="center"/>
                </w:tcPr>
                <w:p w14:paraId="36109FCC">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w:t>
                  </w:r>
                </w:p>
              </w:tc>
              <w:tc>
                <w:tcPr>
                  <w:tcW w:w="1295" w:type="pct"/>
                  <w:noWrap w:val="0"/>
                  <w:vAlign w:val="center"/>
                </w:tcPr>
                <w:p w14:paraId="4B358CD1">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80</w:t>
                  </w:r>
                </w:p>
              </w:tc>
              <w:tc>
                <w:tcPr>
                  <w:tcW w:w="1074" w:type="pct"/>
                  <w:vMerge w:val="continue"/>
                  <w:noWrap w:val="0"/>
                  <w:vAlign w:val="center"/>
                </w:tcPr>
                <w:p w14:paraId="00266D89">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0D2D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00B9FDCE">
                  <w:pPr>
                    <w:widowControl/>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bidi="ar"/>
                      <w14:textFill>
                        <w14:solidFill>
                          <w14:schemeClr w14:val="tx1"/>
                        </w14:solidFill>
                      </w14:textFill>
                    </w:rPr>
                    <w:t>火花机</w:t>
                  </w:r>
                </w:p>
              </w:tc>
              <w:tc>
                <w:tcPr>
                  <w:tcW w:w="1209" w:type="pct"/>
                  <w:noWrap w:val="0"/>
                  <w:vAlign w:val="center"/>
                </w:tcPr>
                <w:p w14:paraId="14551427">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295" w:type="pct"/>
                  <w:noWrap w:val="0"/>
                  <w:vAlign w:val="center"/>
                </w:tcPr>
                <w:p w14:paraId="1CAE33B5">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80</w:t>
                  </w:r>
                </w:p>
              </w:tc>
              <w:tc>
                <w:tcPr>
                  <w:tcW w:w="1074" w:type="pct"/>
                  <w:vMerge w:val="continue"/>
                  <w:noWrap w:val="0"/>
                  <w:vAlign w:val="center"/>
                </w:tcPr>
                <w:p w14:paraId="29FC326C">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3785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29C18C42">
                  <w:pPr>
                    <w:widowControl/>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钻床</w:t>
                  </w:r>
                </w:p>
              </w:tc>
              <w:tc>
                <w:tcPr>
                  <w:tcW w:w="1209" w:type="pct"/>
                  <w:noWrap w:val="0"/>
                  <w:vAlign w:val="center"/>
                </w:tcPr>
                <w:p w14:paraId="6625E08C">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295" w:type="pct"/>
                  <w:noWrap w:val="0"/>
                  <w:vAlign w:val="center"/>
                </w:tcPr>
                <w:p w14:paraId="7387BBD0">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80</w:t>
                  </w:r>
                </w:p>
              </w:tc>
              <w:tc>
                <w:tcPr>
                  <w:tcW w:w="1074" w:type="pct"/>
                  <w:vMerge w:val="continue"/>
                  <w:noWrap w:val="0"/>
                  <w:vAlign w:val="center"/>
                </w:tcPr>
                <w:p w14:paraId="409CD3B3">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0ED1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7226932A">
                  <w:pPr>
                    <w:widowControl/>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车床</w:t>
                  </w:r>
                </w:p>
              </w:tc>
              <w:tc>
                <w:tcPr>
                  <w:tcW w:w="1209" w:type="pct"/>
                  <w:noWrap w:val="0"/>
                  <w:vAlign w:val="center"/>
                </w:tcPr>
                <w:p w14:paraId="2D58A28B">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295" w:type="pct"/>
                  <w:noWrap w:val="0"/>
                  <w:vAlign w:val="center"/>
                </w:tcPr>
                <w:p w14:paraId="5938DA6E">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80</w:t>
                  </w:r>
                </w:p>
              </w:tc>
              <w:tc>
                <w:tcPr>
                  <w:tcW w:w="1074" w:type="pct"/>
                  <w:vMerge w:val="continue"/>
                  <w:noWrap w:val="0"/>
                  <w:vAlign w:val="center"/>
                </w:tcPr>
                <w:p w14:paraId="78BD9797">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37AD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07FC7C59">
                  <w:pPr>
                    <w:widowControl/>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kern w:val="0"/>
                      <w:szCs w:val="21"/>
                      <w:lang w:bidi="ar"/>
                      <w14:textFill>
                        <w14:solidFill>
                          <w14:schemeClr w14:val="tx1"/>
                        </w14:solidFill>
                      </w14:textFill>
                    </w:rPr>
                    <w:t>滚</w:t>
                  </w:r>
                  <w:r>
                    <w:rPr>
                      <w:rFonts w:hint="eastAsia"/>
                      <w:color w:val="000000" w:themeColor="text1"/>
                      <w:kern w:val="0"/>
                      <w:szCs w:val="21"/>
                      <w:lang w:val="en-US" w:eastAsia="zh-CN" w:bidi="ar"/>
                      <w14:textFill>
                        <w14:solidFill>
                          <w14:schemeClr w14:val="tx1"/>
                        </w14:solidFill>
                      </w14:textFill>
                    </w:rPr>
                    <w:t>砂</w:t>
                  </w:r>
                  <w:r>
                    <w:rPr>
                      <w:color w:val="000000" w:themeColor="text1"/>
                      <w:kern w:val="0"/>
                      <w:szCs w:val="21"/>
                      <w:lang w:bidi="ar"/>
                      <w14:textFill>
                        <w14:solidFill>
                          <w14:schemeClr w14:val="tx1"/>
                        </w14:solidFill>
                      </w14:textFill>
                    </w:rPr>
                    <w:t>机</w:t>
                  </w:r>
                </w:p>
              </w:tc>
              <w:tc>
                <w:tcPr>
                  <w:tcW w:w="1209" w:type="pct"/>
                  <w:noWrap w:val="0"/>
                  <w:vAlign w:val="center"/>
                </w:tcPr>
                <w:p w14:paraId="3FB2DE81">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295" w:type="pct"/>
                  <w:noWrap w:val="0"/>
                  <w:vAlign w:val="center"/>
                </w:tcPr>
                <w:p w14:paraId="58939026">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80</w:t>
                  </w:r>
                </w:p>
              </w:tc>
              <w:tc>
                <w:tcPr>
                  <w:tcW w:w="1074" w:type="pct"/>
                  <w:vMerge w:val="continue"/>
                  <w:noWrap w:val="0"/>
                  <w:vAlign w:val="center"/>
                </w:tcPr>
                <w:p w14:paraId="77530979">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471A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48BFF7D8">
                  <w:pPr>
                    <w:widowControl/>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kern w:val="0"/>
                      <w:szCs w:val="21"/>
                      <w:lang w:bidi="ar"/>
                      <w14:textFill>
                        <w14:solidFill>
                          <w14:schemeClr w14:val="tx1"/>
                        </w14:solidFill>
                      </w14:textFill>
                    </w:rPr>
                    <w:t>震动盘</w:t>
                  </w:r>
                </w:p>
              </w:tc>
              <w:tc>
                <w:tcPr>
                  <w:tcW w:w="1209" w:type="pct"/>
                  <w:noWrap w:val="0"/>
                  <w:vAlign w:val="center"/>
                </w:tcPr>
                <w:p w14:paraId="26C1E2E2">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295" w:type="pct"/>
                  <w:noWrap w:val="0"/>
                  <w:vAlign w:val="center"/>
                </w:tcPr>
                <w:p w14:paraId="04198017">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75</w:t>
                  </w:r>
                </w:p>
              </w:tc>
              <w:tc>
                <w:tcPr>
                  <w:tcW w:w="1074" w:type="pct"/>
                  <w:vMerge w:val="continue"/>
                  <w:noWrap w:val="0"/>
                  <w:vAlign w:val="center"/>
                </w:tcPr>
                <w:p w14:paraId="3749DD65">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79B1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55FC8054">
                  <w:pPr>
                    <w:widowControl/>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color w:val="000000" w:themeColor="text1"/>
                      <w:kern w:val="0"/>
                      <w:szCs w:val="21"/>
                      <w:lang w:bidi="ar"/>
                      <w14:textFill>
                        <w14:solidFill>
                          <w14:schemeClr w14:val="tx1"/>
                        </w14:solidFill>
                      </w14:textFill>
                    </w:rPr>
                    <w:t>磁力震光机</w:t>
                  </w:r>
                </w:p>
              </w:tc>
              <w:tc>
                <w:tcPr>
                  <w:tcW w:w="1209" w:type="pct"/>
                  <w:noWrap w:val="0"/>
                  <w:vAlign w:val="center"/>
                </w:tcPr>
                <w:p w14:paraId="4F8C59F4">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295" w:type="pct"/>
                  <w:noWrap w:val="0"/>
                  <w:vAlign w:val="center"/>
                </w:tcPr>
                <w:p w14:paraId="34153194">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80</w:t>
                  </w:r>
                </w:p>
              </w:tc>
              <w:tc>
                <w:tcPr>
                  <w:tcW w:w="1074" w:type="pct"/>
                  <w:vMerge w:val="continue"/>
                  <w:noWrap w:val="0"/>
                  <w:vAlign w:val="center"/>
                </w:tcPr>
                <w:p w14:paraId="77C8FD2F">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4EE4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33F1F6E5">
                  <w:pPr>
                    <w:shd w:val="clear"/>
                    <w:spacing w:line="240" w:lineRule="auto"/>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t>空压机</w:t>
                  </w:r>
                </w:p>
              </w:tc>
              <w:tc>
                <w:tcPr>
                  <w:tcW w:w="1209" w:type="pct"/>
                  <w:noWrap w:val="0"/>
                  <w:vAlign w:val="center"/>
                </w:tcPr>
                <w:p w14:paraId="6A03A1C9">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w:t>
                  </w:r>
                </w:p>
              </w:tc>
              <w:tc>
                <w:tcPr>
                  <w:tcW w:w="1295" w:type="pct"/>
                  <w:noWrap w:val="0"/>
                  <w:vAlign w:val="center"/>
                </w:tcPr>
                <w:p w14:paraId="4A8C6FE4">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85</w:t>
                  </w:r>
                </w:p>
              </w:tc>
              <w:tc>
                <w:tcPr>
                  <w:tcW w:w="1074" w:type="pct"/>
                  <w:vMerge w:val="continue"/>
                  <w:noWrap w:val="0"/>
                  <w:vAlign w:val="center"/>
                </w:tcPr>
                <w:p w14:paraId="67C41CED">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21A6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21" w:type="pct"/>
                  <w:noWrap w:val="0"/>
                  <w:vAlign w:val="center"/>
                </w:tcPr>
                <w:p w14:paraId="2FE3AC5A">
                  <w:pPr>
                    <w:shd w:val="clear"/>
                    <w:spacing w:line="240" w:lineRule="auto"/>
                    <w:jc w:val="center"/>
                    <w:rPr>
                      <w:rFonts w:hint="default"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t>水泵</w:t>
                  </w:r>
                </w:p>
              </w:tc>
              <w:tc>
                <w:tcPr>
                  <w:tcW w:w="1209" w:type="pct"/>
                  <w:noWrap w:val="0"/>
                  <w:vAlign w:val="center"/>
                </w:tcPr>
                <w:p w14:paraId="4F305BEC">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295" w:type="pct"/>
                  <w:noWrap w:val="0"/>
                  <w:vAlign w:val="center"/>
                </w:tcPr>
                <w:p w14:paraId="5EFC5D2F">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80</w:t>
                  </w:r>
                </w:p>
              </w:tc>
              <w:tc>
                <w:tcPr>
                  <w:tcW w:w="1074" w:type="pct"/>
                  <w:vMerge w:val="continue"/>
                  <w:noWrap w:val="0"/>
                  <w:vAlign w:val="center"/>
                </w:tcPr>
                <w:p w14:paraId="2A35F4C2">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r>
            <w:tr w14:paraId="4580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pct"/>
                  <w:noWrap w:val="0"/>
                  <w:vAlign w:val="center"/>
                </w:tcPr>
                <w:p w14:paraId="49BFA523">
                  <w:pPr>
                    <w:shd w:val="clear"/>
                    <w:spacing w:line="240" w:lineRule="auto"/>
                    <w:jc w:val="center"/>
                    <w:rPr>
                      <w:rFonts w:hint="eastAsia"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b w:val="0"/>
                      <w:bCs w:val="0"/>
                      <w:snapToGrid w:val="0"/>
                      <w:color w:val="000000" w:themeColor="text1"/>
                      <w:kern w:val="2"/>
                      <w:sz w:val="21"/>
                      <w:szCs w:val="21"/>
                      <w:highlight w:val="none"/>
                      <w:vertAlign w:val="baseline"/>
                      <w:lang w:val="en-US" w:eastAsia="zh-CN" w:bidi="ar-SA"/>
                      <w14:textFill>
                        <w14:solidFill>
                          <w14:schemeClr w14:val="tx1"/>
                        </w14:solidFill>
                      </w14:textFill>
                    </w:rPr>
                    <w:t>风机</w:t>
                  </w:r>
                </w:p>
              </w:tc>
              <w:tc>
                <w:tcPr>
                  <w:tcW w:w="1209" w:type="pct"/>
                  <w:noWrap w:val="0"/>
                  <w:vAlign w:val="center"/>
                </w:tcPr>
                <w:p w14:paraId="34E4A080">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295" w:type="pct"/>
                  <w:noWrap w:val="0"/>
                  <w:vAlign w:val="center"/>
                </w:tcPr>
                <w:p w14:paraId="6930E0F5">
                  <w:pPr>
                    <w:shd w:val="clear"/>
                    <w:spacing w:line="240" w:lineRule="auto"/>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85</w:t>
                  </w:r>
                </w:p>
              </w:tc>
              <w:tc>
                <w:tcPr>
                  <w:tcW w:w="1074" w:type="pct"/>
                  <w:noWrap w:val="0"/>
                  <w:vAlign w:val="center"/>
                </w:tcPr>
                <w:p w14:paraId="3426D0C0">
                  <w:pPr>
                    <w:shd w:val="clear"/>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室外</w:t>
                  </w:r>
                </w:p>
              </w:tc>
            </w:tr>
          </w:tbl>
          <w:p w14:paraId="6C36B5C5">
            <w:pPr>
              <w:shd w:val="clear"/>
              <w:spacing w:line="360" w:lineRule="auto"/>
              <w:ind w:firstLine="420" w:firstLineChars="20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噪声经过室内产噪设备设置减振措施、车间墙体隔声、设备设置减振垫等措施。项目所在厂房墙壁为钢筋混凝土结构，由于墙体有隔音作用，根据《环境工作手册-环境噪声控制卷》，噪声通过墙体隔声后，再经距离衰减，可降低23-30dB（A），本项目取27dB（A）；另外通过在设备铺装减振基座、减振垫等设施，以降低项目运营过程中振动噪声的产生，由环境保护实用数据手册可知，底座防振措施可降噪5-8dB(A)，本项目取6dB（A），总的降噪值可达到33dB(A)；室外的设备通过隔声罩、底座防振措施进行降噪。通过建设单位落实好各类设备的降噪措施，且车间墙体为砖砌实心墙、铝窗结构，室外设备设置隔声罩，查阅资料可降低3-30dB（A）(参考文献：环境保护实用数据手册)，本项目取27dB（A）；由环境保护实用数据手册可知，底座防振措施可降噪5-8dB(A)，本项目取7dB（A），总的降噪值可达到34dB(A)。因此项目室内外噪声经过车间墙体隔声、降噪措施、隔声罩及距离衰减后，项目厂界1米处的噪声值昼间可达到《工业企业厂界环境噪声排放标准》（GB12348-2008）3类标准（昼间噪声限值65dB(A)，夜间不生产）。为营造更好的工作环境，噪声防治对策应该从声源上降低噪声传播途径上降低噪声两个环节着手，要求做到以下几点：</w:t>
            </w:r>
          </w:p>
          <w:p w14:paraId="348A6A14">
            <w:pPr>
              <w:shd w:val="clear"/>
              <w:adjustRightInd w:val="0"/>
              <w:snapToGrid w:val="0"/>
              <w:spacing w:line="360" w:lineRule="auto"/>
              <w:ind w:firstLine="420" w:firstLineChars="200"/>
              <w:jc w:val="both"/>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（1）对于各种生产设备，除选用噪声低的设备外还应合理</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地</w:t>
            </w:r>
            <w:r>
              <w:rPr>
                <w:rFonts w:hint="default" w:ascii="Times New Roman" w:hAnsi="Times New Roman" w:eastAsia="宋体" w:cs="Times New Roman"/>
                <w:bCs/>
                <w:color w:val="000000" w:themeColor="text1"/>
                <w:sz w:val="21"/>
                <w:szCs w:val="21"/>
                <w:highlight w:val="none"/>
                <w14:textFill>
                  <w14:solidFill>
                    <w14:schemeClr w14:val="tx1"/>
                  </w14:solidFill>
                </w14:textFill>
              </w:rPr>
              <w:t>安装、布局，较高噪声设备应安装减振垫、减振基座等</w:t>
            </w:r>
            <w:r>
              <w:rPr>
                <w:rFonts w:hint="eastAsia" w:cs="Times New Roman"/>
                <w:bCs/>
                <w:color w:val="000000" w:themeColor="text1"/>
                <w:sz w:val="21"/>
                <w:szCs w:val="21"/>
                <w:highlight w:val="none"/>
                <w:lang w:eastAsia="zh-CN"/>
                <w14:textFill>
                  <w14:solidFill>
                    <w14:schemeClr w14:val="tx1"/>
                  </w14:solidFill>
                </w14:textFill>
              </w:rPr>
              <w:t>；</w:t>
            </w:r>
            <w:r>
              <w:rPr>
                <w:rFonts w:hint="eastAsia" w:ascii="Times New Roman" w:cs="Times New Roman"/>
                <w:color w:val="000000" w:themeColor="text1"/>
                <w:sz w:val="21"/>
                <w:szCs w:val="21"/>
                <w14:textFill>
                  <w14:solidFill>
                    <w14:schemeClr w14:val="tx1"/>
                  </w14:solidFill>
                </w14:textFill>
              </w:rPr>
              <w:t>敏感点</w:t>
            </w:r>
            <w:r>
              <w:rPr>
                <w:rFonts w:hint="eastAsia"/>
                <w:color w:val="000000" w:themeColor="text1"/>
                <w:sz w:val="21"/>
                <w:szCs w:val="21"/>
                <w:lang w:val="en-US" w:eastAsia="zh-CN"/>
                <w14:textFill>
                  <w14:solidFill>
                    <w14:schemeClr w14:val="tx1"/>
                  </w14:solidFill>
                </w14:textFill>
              </w:rPr>
              <w:t>京珠高速公路广珠段改扩建管理处</w:t>
            </w:r>
            <w:r>
              <w:rPr>
                <w:rFonts w:hint="eastAsia" w:ascii="Times New Roman" w:cs="Times New Roman"/>
                <w:color w:val="000000" w:themeColor="text1"/>
                <w:sz w:val="21"/>
                <w:szCs w:val="21"/>
                <w14:textFill>
                  <w14:solidFill>
                    <w14:schemeClr w14:val="tx1"/>
                  </w14:solidFill>
                </w14:textFill>
              </w:rPr>
              <w:t>位于项目</w:t>
            </w:r>
            <w:r>
              <w:rPr>
                <w:rFonts w:hint="eastAsia" w:ascii="Times New Roman" w:cs="Times New Roman"/>
                <w:color w:val="000000" w:themeColor="text1"/>
                <w:sz w:val="21"/>
                <w:szCs w:val="21"/>
                <w:lang w:val="en-US" w:eastAsia="zh-CN"/>
                <w14:textFill>
                  <w14:solidFill>
                    <w14:schemeClr w14:val="tx1"/>
                  </w14:solidFill>
                </w14:textFill>
              </w:rPr>
              <w:t>西南面</w:t>
            </w:r>
            <w:r>
              <w:rPr>
                <w:rFonts w:hint="eastAsia" w:ascii="Times New Roman" w:cs="Times New Roman"/>
                <w:color w:val="000000" w:themeColor="text1"/>
                <w:sz w:val="21"/>
                <w:szCs w:val="21"/>
                <w:lang w:eastAsia="zh-CN"/>
                <w14:textFill>
                  <w14:solidFill>
                    <w14:schemeClr w14:val="tx1"/>
                  </w14:solidFill>
                </w14:textFill>
              </w:rPr>
              <w:t>（</w:t>
            </w:r>
            <w:r>
              <w:rPr>
                <w:rFonts w:hint="eastAsia" w:ascii="Times New Roman" w:cs="Times New Roman"/>
                <w:color w:val="000000" w:themeColor="text1"/>
                <w:sz w:val="21"/>
                <w:szCs w:val="21"/>
                <w:lang w:val="en-US" w:eastAsia="zh-CN"/>
                <w14:textFill>
                  <w14:solidFill>
                    <w14:schemeClr w14:val="tx1"/>
                  </w14:solidFill>
                </w14:textFill>
              </w:rPr>
              <w:t>距离厂界</w:t>
            </w:r>
            <w:r>
              <w:rPr>
                <w:rFonts w:hint="eastAsia" w:ascii="Times New Roman" w:cs="Times New Roman"/>
                <w:color w:val="000000" w:themeColor="text1"/>
                <w:sz w:val="21"/>
                <w:szCs w:val="21"/>
                <w14:textFill>
                  <w14:solidFill>
                    <w14:schemeClr w14:val="tx1"/>
                  </w14:solidFill>
                </w14:textFill>
              </w:rPr>
              <w:t>约</w:t>
            </w:r>
            <w:r>
              <w:rPr>
                <w:rFonts w:hint="eastAsia" w:ascii="Times New Roman" w:cs="Times New Roman"/>
                <w:color w:val="000000" w:themeColor="text1"/>
                <w:sz w:val="21"/>
                <w:szCs w:val="21"/>
                <w:lang w:val="en-US" w:eastAsia="zh-CN"/>
                <w14:textFill>
                  <w14:solidFill>
                    <w14:schemeClr w14:val="tx1"/>
                  </w14:solidFill>
                </w14:textFill>
              </w:rPr>
              <w:t>231</w:t>
            </w:r>
            <w:r>
              <w:rPr>
                <w:rFonts w:hint="eastAsia" w:ascii="Times New Roman" w:cs="Times New Roman"/>
                <w:color w:val="000000" w:themeColor="text1"/>
                <w:sz w:val="21"/>
                <w:szCs w:val="21"/>
                <w14:textFill>
                  <w14:solidFill>
                    <w14:schemeClr w14:val="tx1"/>
                  </w14:solidFill>
                </w14:textFill>
              </w:rPr>
              <w:t>米</w:t>
            </w:r>
            <w:r>
              <w:rPr>
                <w:rFonts w:hint="eastAsia" w:ascii="Times New Roman" w:cs="Times New Roman"/>
                <w:color w:val="000000" w:themeColor="text1"/>
                <w:sz w:val="21"/>
                <w:szCs w:val="21"/>
                <w:lang w:eastAsia="zh-CN"/>
                <w14:textFill>
                  <w14:solidFill>
                    <w14:schemeClr w14:val="tx1"/>
                  </w14:solidFill>
                </w14:textFill>
              </w:rPr>
              <w:t>）</w:t>
            </w:r>
            <w:r>
              <w:rPr>
                <w:rFonts w:hint="eastAsia" w:ascii="Times New Roman" w:cs="Times New Roman"/>
                <w:color w:val="000000" w:themeColor="text1"/>
                <w:sz w:val="21"/>
                <w:szCs w:val="21"/>
                <w:lang w:val="en-US" w:eastAsia="zh-CN"/>
                <w14:textFill>
                  <w14:solidFill>
                    <w14:schemeClr w14:val="tx1"/>
                  </w14:solidFill>
                </w14:textFill>
              </w:rPr>
              <w:t>，尽量将</w:t>
            </w:r>
            <w:r>
              <w:rPr>
                <w:rFonts w:hint="eastAsia" w:ascii="Times New Roman" w:cs="Times New Roman"/>
                <w:color w:val="000000" w:themeColor="text1"/>
                <w:sz w:val="21"/>
                <w:szCs w:val="21"/>
                <w14:textFill>
                  <w14:solidFill>
                    <w14:schemeClr w14:val="tx1"/>
                  </w14:solidFill>
                </w14:textFill>
              </w:rPr>
              <w:t>产噪设备设</w:t>
            </w:r>
            <w:r>
              <w:rPr>
                <w:rFonts w:hint="eastAsia" w:ascii="Times New Roman" w:cs="Times New Roman"/>
                <w:color w:val="000000" w:themeColor="text1"/>
                <w:sz w:val="21"/>
                <w:szCs w:val="21"/>
                <w:lang w:val="en-US" w:eastAsia="zh-CN"/>
                <w14:textFill>
                  <w14:solidFill>
                    <w14:schemeClr w14:val="tx1"/>
                  </w14:solidFill>
                </w14:textFill>
              </w:rPr>
              <w:t>置</w:t>
            </w:r>
            <w:r>
              <w:rPr>
                <w:rFonts w:hint="eastAsia" w:ascii="Times New Roman" w:cs="Times New Roman"/>
                <w:color w:val="000000" w:themeColor="text1"/>
                <w:sz w:val="21"/>
                <w:szCs w:val="21"/>
                <w14:textFill>
                  <w14:solidFill>
                    <w14:schemeClr w14:val="tx1"/>
                  </w14:solidFill>
                </w14:textFill>
              </w:rPr>
              <w:t>于</w:t>
            </w:r>
            <w:r>
              <w:rPr>
                <w:rFonts w:hint="eastAsia" w:ascii="Times New Roman" w:cs="Times New Roman"/>
                <w:color w:val="000000" w:themeColor="text1"/>
                <w:sz w:val="21"/>
                <w:szCs w:val="21"/>
                <w:lang w:val="en-US" w:eastAsia="zh-CN"/>
                <w14:textFill>
                  <w14:solidFill>
                    <w14:schemeClr w14:val="tx1"/>
                  </w14:solidFill>
                </w14:textFill>
              </w:rPr>
              <w:t>厂房中部和北部</w:t>
            </w:r>
            <w:r>
              <w:rPr>
                <w:rFonts w:hint="eastAsia" w:ascii="Times New Roman" w:cs="Times New Roman"/>
                <w:color w:val="000000" w:themeColor="text1"/>
                <w:sz w:val="21"/>
                <w:szCs w:val="21"/>
                <w14:textFill>
                  <w14:solidFill>
                    <w14:schemeClr w14:val="tx1"/>
                  </w14:solidFill>
                </w14:textFill>
              </w:rPr>
              <w:t>位置</w:t>
            </w:r>
          </w:p>
          <w:p w14:paraId="7EB236DE">
            <w:pPr>
              <w:pStyle w:val="32"/>
              <w:shd w:val="clear"/>
              <w:spacing w:after="0" w:line="360" w:lineRule="auto"/>
              <w:ind w:left="0" w:leftChars="0"/>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（2）投入使用后应加强对设备的日常检修和维护，保证各设备正常运转，以免由于故障原因产生较大噪声，同时加强生产管理，教育员工文明生产，减少人为因素造成的噪声，合理安排生产；</w:t>
            </w:r>
          </w:p>
          <w:p w14:paraId="01316E18">
            <w:pPr>
              <w:pStyle w:val="32"/>
              <w:shd w:val="clear"/>
              <w:spacing w:after="0" w:line="360" w:lineRule="auto"/>
              <w:ind w:left="0" w:leftChars="0"/>
              <w:jc w:val="both"/>
              <w:rPr>
                <w:rFonts w:hint="eastAsia"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（3）车间的门窗要选用隔声性能良好的铝合金或双层门窗，加上自然距离的衰减，使生产设备产生的机械噪声得到有效</w:t>
            </w:r>
            <w:r>
              <w:rPr>
                <w:rFonts w:hint="default" w:ascii="Times New Roman" w:hAnsi="Times New Roman" w:cs="Times New Roman"/>
                <w:color w:val="000000" w:themeColor="text1"/>
                <w:sz w:val="21"/>
                <w:szCs w:val="21"/>
                <w:highlight w:val="none"/>
                <w:lang w:eastAsia="zh-CN"/>
                <w14:textFill>
                  <w14:solidFill>
                    <w14:schemeClr w14:val="tx1"/>
                  </w14:solidFill>
                </w14:textFill>
              </w:rPr>
              <w:t>地</w:t>
            </w:r>
            <w:r>
              <w:rPr>
                <w:rFonts w:hint="default" w:ascii="Times New Roman" w:hAnsi="Times New Roman" w:eastAsia="宋体" w:cs="Times New Roman"/>
                <w:color w:val="000000" w:themeColor="text1"/>
                <w:sz w:val="21"/>
                <w:szCs w:val="21"/>
                <w:highlight w:val="none"/>
                <w14:textFill>
                  <w14:solidFill>
                    <w14:schemeClr w14:val="tx1"/>
                  </w14:solidFill>
                </w14:textFill>
              </w:rPr>
              <w:t>衰减；</w:t>
            </w:r>
            <w:r>
              <w:rPr>
                <w:rFonts w:hint="eastAsia" w:hAnsi="Times New Roman" w:cs="Times New Roman"/>
                <w:color w:val="000000" w:themeColor="text1"/>
                <w:sz w:val="21"/>
                <w:szCs w:val="21"/>
                <w:lang w:val="en-US" w:eastAsia="zh-CN"/>
                <w14:textFill>
                  <w14:solidFill>
                    <w14:schemeClr w14:val="tx1"/>
                  </w14:solidFill>
                </w14:textFill>
              </w:rPr>
              <w:t>室外高噪声产噪设备（风机等）摆放在远离（北侧）敏感点一侧，且设置减振垫、减振基座等减噪措施，主要生产设备均设置在车间内。</w:t>
            </w:r>
          </w:p>
          <w:p w14:paraId="76A41525">
            <w:pPr>
              <w:pStyle w:val="32"/>
              <w:keepNext w:val="0"/>
              <w:keepLines w:val="0"/>
              <w:pageBreakBefore w:val="0"/>
              <w:kinsoku/>
              <w:wordWrap/>
              <w:overflowPunct/>
              <w:topLinePunct w:val="0"/>
              <w:autoSpaceDE/>
              <w:autoSpaceDN/>
              <w:bidi w:val="0"/>
              <w:snapToGrid/>
              <w:spacing w:after="0" w:line="360" w:lineRule="auto"/>
              <w:ind w:left="0" w:leftChars="0" w:firstLine="420" w:firstLineChars="200"/>
              <w:jc w:val="left"/>
              <w:rPr>
                <w:rFonts w:hAnsi="Times New Roman" w:cs="Times New Roman"/>
                <w:color w:val="000000" w:themeColor="text1"/>
                <w:sz w:val="21"/>
                <w:szCs w:val="21"/>
                <w:lang w:val="en-US" w:eastAsia="zh-CN"/>
                <w14:textFill>
                  <w14:solidFill>
                    <w14:schemeClr w14:val="tx1"/>
                  </w14:solidFill>
                </w14:textFill>
              </w:rPr>
            </w:pPr>
            <w:r>
              <w:rPr>
                <w:rFonts w:hAnsi="Times New Roman" w:cs="Times New Roman"/>
                <w:color w:val="000000" w:themeColor="text1"/>
                <w:sz w:val="21"/>
                <w:szCs w:val="21"/>
                <w:lang w:val="en-US" w:eastAsia="zh-CN"/>
                <w14:textFill>
                  <w14:solidFill>
                    <w14:schemeClr w14:val="tx1"/>
                  </w14:solidFill>
                </w14:textFill>
              </w:rPr>
              <w:t>（4）通风设备通过安装减振垫、风口软接、消声器等来消除振动等产生的影响；</w:t>
            </w:r>
          </w:p>
          <w:p w14:paraId="54525EA1">
            <w:pPr>
              <w:pStyle w:val="50"/>
              <w:keepNext w:val="0"/>
              <w:keepLines w:val="0"/>
              <w:pageBreakBefore w:val="0"/>
              <w:kinsoku/>
              <w:wordWrap/>
              <w:overflowPunct/>
              <w:topLinePunct w:val="0"/>
              <w:autoSpaceDE/>
              <w:autoSpaceDN/>
              <w:bidi w:val="0"/>
              <w:snapToGrid/>
              <w:ind w:firstLine="420" w:firstLineChars="200"/>
              <w:jc w:val="left"/>
              <w:rPr>
                <w:rFonts w:hAnsi="Times New Roman" w:cs="Times New Roman"/>
                <w:color w:val="000000" w:themeColor="text1"/>
                <w:sz w:val="21"/>
                <w:szCs w:val="21"/>
                <w:lang w:val="en-US" w:eastAsia="zh-CN"/>
                <w14:textFill>
                  <w14:solidFill>
                    <w14:schemeClr w14:val="tx1"/>
                  </w14:solidFill>
                </w14:textFill>
              </w:rPr>
            </w:pPr>
            <w:r>
              <w:rPr>
                <w:rFonts w:hAnsi="Times New Roman" w:cs="Times New Roman"/>
                <w:color w:val="000000" w:themeColor="text1"/>
                <w:sz w:val="21"/>
                <w:szCs w:val="21"/>
                <w:lang w:val="en-US" w:eastAsia="zh-CN"/>
                <w14:textFill>
                  <w14:solidFill>
                    <w14:schemeClr w14:val="tx1"/>
                  </w14:solidFill>
                </w14:textFill>
              </w:rPr>
              <w:t>（5）在原材料和成品的搬运过程中，要轻拿轻放，避免大的突发噪声产生；</w:t>
            </w:r>
          </w:p>
          <w:p w14:paraId="4601BE71">
            <w:pPr>
              <w:pStyle w:val="32"/>
              <w:spacing w:after="0" w:line="360" w:lineRule="auto"/>
              <w:ind w:left="0" w:leftChars="0"/>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6</w:t>
            </w:r>
            <w:r>
              <w:rPr>
                <w:rFonts w:hint="eastAsia"/>
                <w:color w:val="000000" w:themeColor="text1"/>
                <w:sz w:val="21"/>
                <w:szCs w:val="21"/>
                <w:lang w:eastAsia="zh-CN"/>
                <w14:textFill>
                  <w14:solidFill>
                    <w14:schemeClr w14:val="tx1"/>
                  </w14:solidFill>
                </w14:textFill>
              </w:rPr>
              <w:t>）对于运输噪声，应合理选择运输路线，减少车辆噪声对周围环境敏感点的影响，限制大型载重车的车速，靠近居民区附近时应限速，对运输车辆定期维修、养护，减少或杜绝鸣笛等。</w:t>
            </w:r>
          </w:p>
          <w:p w14:paraId="4407383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firstLine="482" w:firstLineChars="200"/>
              <w:jc w:val="both"/>
              <w:textAlignment w:val="auto"/>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（2）噪声监测计划</w:t>
            </w:r>
          </w:p>
          <w:p w14:paraId="242A98FD">
            <w:pPr>
              <w:keepNext/>
              <w:keepLines/>
              <w:widowControl w:val="0"/>
              <w:numPr>
                <w:ilvl w:val="0"/>
                <w:numId w:val="0"/>
              </w:numPr>
              <w:shd w:val="clear"/>
              <w:spacing w:line="360" w:lineRule="auto"/>
              <w:ind w:left="0" w:leftChars="0" w:firstLine="420" w:firstLineChars="200"/>
              <w:jc w:val="both"/>
              <w:outlineLvl w:val="2"/>
              <w:rPr>
                <w:rFonts w:hint="default" w:ascii="Times New Roman" w:hAnsi="Times New Roman" w:eastAsia="宋体" w:cs="Times New Roman"/>
                <w:b/>
                <w:bCs/>
                <w:color w:val="000000" w:themeColor="text1"/>
                <w:kern w:val="2"/>
                <w:sz w:val="21"/>
                <w:szCs w:val="21"/>
                <w:highlight w:val="none"/>
                <w:lang w:val="zh-CN"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根据</w:t>
            </w:r>
            <w:r>
              <w:rPr>
                <w:rFonts w:hint="default" w:ascii="Times New Roman" w:hAnsi="Times New Roman" w:eastAsia="宋体" w:cs="Times New Roman"/>
                <w:color w:val="000000" w:themeColor="text1"/>
                <w:sz w:val="21"/>
                <w:szCs w:val="21"/>
                <w:highlight w:val="none"/>
                <w14:textFill>
                  <w14:solidFill>
                    <w14:schemeClr w14:val="tx1"/>
                  </w14:solidFill>
                </w14:textFill>
              </w:rPr>
              <w:t>《排污单位自行监测技术指南</w:t>
            </w:r>
            <w:r>
              <w:rPr>
                <w:rFonts w:hint="eastAsia"/>
                <w:color w:val="000000" w:themeColor="text1"/>
                <w14:textFill>
                  <w14:solidFill>
                    <w14:schemeClr w14:val="tx1"/>
                  </w14:solidFill>
                </w14:textFill>
              </w:rPr>
              <w:t>金属铸造工业</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eastAsia"/>
                <w:color w:val="000000" w:themeColor="text1"/>
                <w14:textFill>
                  <w14:solidFill>
                    <w14:schemeClr w14:val="tx1"/>
                  </w14:solidFill>
                </w14:textFill>
              </w:rPr>
              <w:t>HJ 1251—2022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、《排污许可证申请与核发技术规范</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金属铸造工业</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》（HJ942-2018）、《排污许可证申请与核发技术规范工业噪声》（HJ1301-2023），本项目污染源监测计划见下表。</w:t>
            </w:r>
          </w:p>
          <w:p w14:paraId="5D3BCCA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jc w:val="center"/>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表3</w:t>
            </w:r>
            <w:r>
              <w:rPr>
                <w:rFonts w:hint="eastAsia" w:cs="Times New Roman"/>
                <w:b/>
                <w:bCs w:val="0"/>
                <w:color w:val="000000" w:themeColor="text1"/>
                <w:spacing w:val="-10"/>
                <w:sz w:val="24"/>
                <w:szCs w:val="24"/>
                <w:highlight w:val="none"/>
                <w:lang w:val="en-US" w:eastAsia="zh-CN"/>
                <w14:textFill>
                  <w14:solidFill>
                    <w14:schemeClr w14:val="tx1"/>
                  </w14:solidFill>
                </w14:textFill>
              </w:rPr>
              <w:t>9</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噪声监测计划</w:t>
            </w:r>
          </w:p>
          <w:tbl>
            <w:tblPr>
              <w:tblStyle w:val="33"/>
              <w:tblW w:w="67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4"/>
              <w:gridCol w:w="1255"/>
              <w:gridCol w:w="1425"/>
              <w:gridCol w:w="2073"/>
            </w:tblGrid>
            <w:tr w14:paraId="1F5C2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004" w:type="dxa"/>
                  <w:tcBorders>
                    <w:top w:val="single" w:color="auto" w:sz="4" w:space="0"/>
                    <w:left w:val="single" w:color="000000" w:sz="4" w:space="0"/>
                    <w:bottom w:val="single" w:color="auto" w:sz="4" w:space="0"/>
                    <w:right w:val="single" w:color="auto" w:sz="4" w:space="0"/>
                  </w:tcBorders>
                  <w:noWrap w:val="0"/>
                  <w:vAlign w:val="center"/>
                </w:tcPr>
                <w:p w14:paraId="5DF27EF9">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噪声监测点位</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3956786A">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监测频次</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668F645C">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排放限值</w:t>
                  </w:r>
                </w:p>
              </w:tc>
              <w:tc>
                <w:tcPr>
                  <w:tcW w:w="2073" w:type="dxa"/>
                  <w:tcBorders>
                    <w:top w:val="single" w:color="auto" w:sz="4" w:space="0"/>
                    <w:left w:val="single" w:color="auto" w:sz="4" w:space="0"/>
                    <w:bottom w:val="single" w:color="auto" w:sz="4" w:space="0"/>
                    <w:right w:val="single" w:color="auto" w:sz="4" w:space="0"/>
                  </w:tcBorders>
                  <w:noWrap w:val="0"/>
                  <w:vAlign w:val="center"/>
                </w:tcPr>
                <w:p w14:paraId="2A917459">
                  <w:pPr>
                    <w:keepNext w:val="0"/>
                    <w:keepLines w:val="0"/>
                    <w:widowControl/>
                    <w:suppressLineNumbers w:val="0"/>
                    <w:shd w:val="clear"/>
                    <w:spacing w:line="24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执行排放标准</w:t>
                  </w:r>
                </w:p>
              </w:tc>
            </w:tr>
            <w:tr w14:paraId="6A8C8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09EEF6C9">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厂界东北外1米</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149D5AD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1次/季</w:t>
                  </w:r>
                </w:p>
              </w:tc>
              <w:tc>
                <w:tcPr>
                  <w:tcW w:w="1425" w:type="dxa"/>
                  <w:vMerge w:val="restart"/>
                  <w:tcBorders>
                    <w:top w:val="single" w:color="auto" w:sz="4" w:space="0"/>
                    <w:left w:val="single" w:color="auto" w:sz="4" w:space="0"/>
                    <w:right w:val="single" w:color="auto" w:sz="4" w:space="0"/>
                  </w:tcBorders>
                  <w:noWrap w:val="0"/>
                  <w:vAlign w:val="center"/>
                </w:tcPr>
                <w:p w14:paraId="0B98931A">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昼间噪声≤65dB(A)</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夜间</w:t>
                  </w:r>
                  <w:r>
                    <w:rPr>
                      <w:rFonts w:hint="eastAsia" w:cs="Times New Roman"/>
                      <w:color w:val="000000" w:themeColor="text1"/>
                      <w:sz w:val="21"/>
                      <w:szCs w:val="21"/>
                      <w:highlight w:val="none"/>
                      <w:lang w:val="en-US" w:eastAsia="zh-CN"/>
                      <w14:textFill>
                        <w14:solidFill>
                          <w14:schemeClr w14:val="tx1"/>
                        </w14:solidFill>
                      </w14:textFill>
                    </w:rPr>
                    <w:t>不生产</w:t>
                  </w:r>
                </w:p>
              </w:tc>
              <w:tc>
                <w:tcPr>
                  <w:tcW w:w="2073" w:type="dxa"/>
                  <w:vMerge w:val="restart"/>
                  <w:tcBorders>
                    <w:top w:val="single" w:color="auto" w:sz="4" w:space="0"/>
                    <w:left w:val="single" w:color="auto" w:sz="4" w:space="0"/>
                    <w:right w:val="single" w:color="auto" w:sz="4" w:space="0"/>
                  </w:tcBorders>
                  <w:noWrap w:val="0"/>
                  <w:vAlign w:val="center"/>
                </w:tcPr>
                <w:p w14:paraId="2A629576">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Cs/>
                      <w:color w:val="000000" w:themeColor="text1"/>
                      <w:szCs w:val="21"/>
                      <w:highlight w:val="none"/>
                      <w:lang w:bidi="ar"/>
                      <w14:textFill>
                        <w14:solidFill>
                          <w14:schemeClr w14:val="tx1"/>
                        </w14:solidFill>
                      </w14:textFill>
                    </w:rPr>
                    <w:t>《工业企业厂界环境噪声排放标准》3类标</w:t>
                  </w:r>
                  <w:r>
                    <w:rPr>
                      <w:rFonts w:hint="default" w:ascii="Times New Roman" w:hAnsi="Times New Roman" w:eastAsia="宋体" w:cs="Times New Roman"/>
                      <w:color w:val="000000" w:themeColor="text1"/>
                      <w:spacing w:val="7"/>
                      <w:highlight w:val="none"/>
                      <w14:textFill>
                        <w14:solidFill>
                          <w14:schemeClr w14:val="tx1"/>
                        </w14:solidFill>
                      </w14:textFill>
                    </w:rPr>
                    <w:t>准</w:t>
                  </w:r>
                </w:p>
              </w:tc>
            </w:tr>
            <w:tr w14:paraId="54C00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666E8CCB">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厂界东南外1米</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4D99077">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1次/季</w:t>
                  </w:r>
                </w:p>
              </w:tc>
              <w:tc>
                <w:tcPr>
                  <w:tcW w:w="1425" w:type="dxa"/>
                  <w:vMerge w:val="continue"/>
                  <w:tcBorders>
                    <w:left w:val="single" w:color="auto" w:sz="4" w:space="0"/>
                    <w:right w:val="single" w:color="auto" w:sz="4" w:space="0"/>
                  </w:tcBorders>
                  <w:noWrap w:val="0"/>
                  <w:vAlign w:val="center"/>
                </w:tcPr>
                <w:p w14:paraId="3DE3F60C">
                  <w:pPr>
                    <w:shd w:val="clear"/>
                    <w:jc w:val="both"/>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2073" w:type="dxa"/>
                  <w:vMerge w:val="continue"/>
                  <w:tcBorders>
                    <w:left w:val="single" w:color="auto" w:sz="4" w:space="0"/>
                    <w:right w:val="single" w:color="auto" w:sz="4" w:space="0"/>
                  </w:tcBorders>
                  <w:noWrap w:val="0"/>
                  <w:vAlign w:val="center"/>
                </w:tcPr>
                <w:p w14:paraId="46D21942">
                  <w:pPr>
                    <w:shd w:val="clear"/>
                    <w:jc w:val="both"/>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0E61D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49B2C5D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厂界西北外1米</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4BE9F1C">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1次/季</w:t>
                  </w:r>
                </w:p>
              </w:tc>
              <w:tc>
                <w:tcPr>
                  <w:tcW w:w="1425" w:type="dxa"/>
                  <w:vMerge w:val="continue"/>
                  <w:tcBorders>
                    <w:left w:val="single" w:color="auto" w:sz="4" w:space="0"/>
                    <w:bottom w:val="single" w:color="auto" w:sz="4" w:space="0"/>
                    <w:right w:val="single" w:color="auto" w:sz="4" w:space="0"/>
                  </w:tcBorders>
                  <w:noWrap w:val="0"/>
                  <w:vAlign w:val="center"/>
                </w:tcPr>
                <w:p w14:paraId="1B8C4E05">
                  <w:pPr>
                    <w:shd w:val="clear"/>
                    <w:jc w:val="both"/>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p>
              </w:tc>
              <w:tc>
                <w:tcPr>
                  <w:tcW w:w="2073" w:type="dxa"/>
                  <w:vMerge w:val="continue"/>
                  <w:tcBorders>
                    <w:left w:val="single" w:color="auto" w:sz="4" w:space="0"/>
                    <w:bottom w:val="single" w:color="auto" w:sz="4" w:space="0"/>
                    <w:right w:val="single" w:color="auto" w:sz="4" w:space="0"/>
                  </w:tcBorders>
                  <w:noWrap w:val="0"/>
                  <w:vAlign w:val="center"/>
                </w:tcPr>
                <w:p w14:paraId="13556E92">
                  <w:pPr>
                    <w:shd w:val="clear"/>
                    <w:jc w:val="both"/>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60798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757" w:type="dxa"/>
                  <w:gridSpan w:val="4"/>
                  <w:tcBorders>
                    <w:top w:val="single" w:color="auto" w:sz="4" w:space="0"/>
                    <w:left w:val="single" w:color="auto" w:sz="4" w:space="0"/>
                    <w:bottom w:val="single" w:color="auto" w:sz="4" w:space="0"/>
                    <w:right w:val="single" w:color="auto" w:sz="4" w:space="0"/>
                  </w:tcBorders>
                  <w:noWrap w:val="0"/>
                  <w:vAlign w:val="center"/>
                </w:tcPr>
                <w:p w14:paraId="0B40B636">
                  <w:pPr>
                    <w:shd w:val="clear"/>
                    <w:jc w:val="both"/>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注：厂界西南面与邻厂共墙，故不进行监测。</w:t>
                  </w:r>
                </w:p>
              </w:tc>
            </w:tr>
          </w:tbl>
          <w:p w14:paraId="409AFFE1">
            <w:pPr>
              <w:keepNext w:val="0"/>
              <w:keepLines w:val="0"/>
              <w:pageBreakBefore w:val="0"/>
              <w:shd w:val="clear"/>
              <w:kinsoku/>
              <w:wordWrap/>
              <w:overflowPunct/>
              <w:topLinePunct w:val="0"/>
              <w:autoSpaceDE/>
              <w:autoSpaceDN/>
              <w:bidi w:val="0"/>
              <w:adjustRightInd/>
              <w:spacing w:line="360" w:lineRule="auto"/>
              <w:ind w:right="0" w:firstLine="482" w:firstLineChars="200"/>
              <w:jc w:val="both"/>
              <w:textAlignment w:val="auto"/>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四、固体废物影响分析</w:t>
            </w:r>
          </w:p>
          <w:p w14:paraId="5203880E">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82" w:firstLineChars="200"/>
              <w:jc w:val="both"/>
              <w:textAlignment w:val="auto"/>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（1）固废产生情况：</w:t>
            </w:r>
          </w:p>
          <w:p w14:paraId="1713296E">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生活垃圾</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w:t>
            </w:r>
          </w:p>
          <w:p w14:paraId="7D007F04">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项目总员工数为20人，根据《社会区域内环境影响评价》（中国环境科学出版社），我国目前城市人均生活垃圾为0.8~1.5kg/人·d，办公垃圾为0.5~1.0kg/人·d，生活垃圾产生量按</w:t>
            </w:r>
            <w:r>
              <w:rPr>
                <w:rFonts w:hint="eastAsia" w:cs="Times New Roman"/>
                <w:color w:val="000000" w:themeColor="text1"/>
                <w:kern w:val="0"/>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kg/人•日计，则生活垃圾产生量为</w:t>
            </w:r>
            <w:r>
              <w:rPr>
                <w:rFonts w:hint="eastAsia" w:cs="Times New Roman"/>
                <w:color w:val="000000" w:themeColor="text1"/>
                <w:kern w:val="0"/>
                <w:sz w:val="21"/>
                <w:szCs w:val="21"/>
                <w:highlight w:val="none"/>
                <w:lang w:val="en-US" w:eastAsia="zh-CN" w:bidi="ar-SA"/>
                <w14:textFill>
                  <w14:solidFill>
                    <w14:schemeClr w14:val="tx1"/>
                  </w14:solidFill>
                </w14:textFill>
              </w:rPr>
              <w:t>20</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kg/d（</w:t>
            </w:r>
            <w:r>
              <w:rPr>
                <w:rFonts w:hint="eastAsia" w:cs="Times New Roman"/>
                <w:color w:val="000000" w:themeColor="text1"/>
                <w:kern w:val="0"/>
                <w:sz w:val="21"/>
                <w:szCs w:val="21"/>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项目产生的生活垃圾按指定地点堆放，并每日由环卫部门清运处理。</w:t>
            </w:r>
          </w:p>
          <w:p w14:paraId="57B24FAD">
            <w:pPr>
              <w:pStyle w:val="48"/>
              <w:keepNext w:val="0"/>
              <w:keepLines w:val="0"/>
              <w:pageBreakBefore w:val="0"/>
              <w:widowControl w:val="0"/>
              <w:shd w:val="clear"/>
              <w:kinsoku/>
              <w:wordWrap w:val="0"/>
              <w:overflowPunct w:val="0"/>
              <w:topLinePunct/>
              <w:autoSpaceDE w:val="0"/>
              <w:autoSpaceDN w:val="0"/>
              <w:bidi w:val="0"/>
              <w:adjustRightInd w:val="0"/>
              <w:snapToGrid/>
              <w:spacing w:line="360" w:lineRule="auto"/>
              <w:ind w:firstLine="482" w:firstLineChars="200"/>
              <w:jc w:val="both"/>
              <w:textAlignment w:val="auto"/>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一般固体废物：</w:t>
            </w:r>
          </w:p>
          <w:p w14:paraId="07BD8586">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2" w:firstLineChars="200"/>
              <w:jc w:val="both"/>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①金属碎屑</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：项目</w:t>
            </w:r>
            <w:r>
              <w:rPr>
                <w:rFonts w:hint="eastAsia" w:cs="Times New Roman"/>
                <w:color w:val="000000" w:themeColor="text1"/>
                <w:kern w:val="0"/>
                <w:sz w:val="21"/>
                <w:szCs w:val="21"/>
                <w:highlight w:val="none"/>
                <w:lang w:val="en-US" w:eastAsia="zh-CN" w:bidi="ar-SA"/>
                <w14:textFill>
                  <w14:solidFill>
                    <w14:schemeClr w14:val="tx1"/>
                  </w14:solidFill>
                </w14:textFill>
              </w:rPr>
              <w:t>研磨</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工序会产生金属碎屑，</w:t>
            </w:r>
            <w:r>
              <w:rPr>
                <w:rFonts w:hint="eastAsia"/>
                <w:color w:val="000000" w:themeColor="text1"/>
                <w:spacing w:val="0"/>
                <w:sz w:val="21"/>
                <w:szCs w:val="21"/>
                <w:highlight w:val="none"/>
                <w:lang w:val="en-US" w:eastAsia="zh-CN"/>
                <w14:textFill>
                  <w14:solidFill>
                    <w14:schemeClr w14:val="tx1"/>
                  </w14:solidFill>
                </w14:textFill>
              </w:rPr>
              <w:t>30%工件无需经过研磨处理，</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产生的金属碎屑约占</w:t>
            </w:r>
            <w:r>
              <w:rPr>
                <w:rFonts w:hint="eastAsia" w:cs="Times New Roman"/>
                <w:color w:val="000000" w:themeColor="text1"/>
                <w:kern w:val="0"/>
                <w:sz w:val="21"/>
                <w:szCs w:val="21"/>
                <w:highlight w:val="none"/>
                <w:lang w:val="en-US" w:eastAsia="zh-CN" w:bidi="ar-SA"/>
                <w14:textFill>
                  <w14:solidFill>
                    <w14:schemeClr w14:val="tx1"/>
                  </w14:solidFill>
                </w14:textFill>
              </w:rPr>
              <w:t>加工的锌锭、铝锭</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原料</w:t>
            </w:r>
            <w:r>
              <w:rPr>
                <w:rFonts w:hint="eastAsia" w:cs="Times New Roman"/>
                <w:color w:val="000000" w:themeColor="text1"/>
                <w:kern w:val="0"/>
                <w:sz w:val="21"/>
                <w:szCs w:val="21"/>
                <w:highlight w:val="none"/>
                <w:lang w:val="en-US" w:eastAsia="zh-CN" w:bidi="ar-SA"/>
                <w14:textFill>
                  <w14:solidFill>
                    <w14:schemeClr w14:val="tx1"/>
                  </w14:solidFill>
                </w14:textFill>
              </w:rPr>
              <w:t>（264.2</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w:t>
            </w:r>
            <w:r>
              <w:rPr>
                <w:rFonts w:hint="eastAsia" w:cs="Times New Roman"/>
                <w:color w:val="000000" w:themeColor="text1"/>
                <w:kern w:val="0"/>
                <w:sz w:val="21"/>
                <w:szCs w:val="21"/>
                <w:highlight w:val="none"/>
                <w:lang w:val="en-US" w:eastAsia="zh-CN" w:bidi="ar-SA"/>
                <w14:textFill>
                  <w14:solidFill>
                    <w14:schemeClr w14:val="tx1"/>
                  </w14:solidFill>
                </w14:textFill>
              </w:rPr>
              <w:t>*（1-30%）=184.94t）</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的</w:t>
            </w:r>
            <w:r>
              <w:rPr>
                <w:rFonts w:hint="eastAsia" w:cs="Times New Roman"/>
                <w:color w:val="000000" w:themeColor="text1"/>
                <w:kern w:val="0"/>
                <w:sz w:val="21"/>
                <w:szCs w:val="21"/>
                <w:highlight w:val="none"/>
                <w:lang w:val="en-US" w:eastAsia="zh-CN" w:bidi="ar-SA"/>
                <w14:textFill>
                  <w14:solidFill>
                    <w14:schemeClr w14:val="tx1"/>
                  </w14:solidFill>
                </w14:textFill>
              </w:rPr>
              <w:t>0.5</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%，则产生量为</w:t>
            </w:r>
            <w:r>
              <w:rPr>
                <w:rFonts w:hint="eastAsia" w:cs="Times New Roman"/>
                <w:color w:val="000000" w:themeColor="text1"/>
                <w:kern w:val="0"/>
                <w:sz w:val="21"/>
                <w:szCs w:val="21"/>
                <w:highlight w:val="none"/>
                <w:lang w:val="en-US" w:eastAsia="zh-CN" w:bidi="ar-SA"/>
                <w14:textFill>
                  <w14:solidFill>
                    <w14:schemeClr w14:val="tx1"/>
                  </w14:solidFill>
                </w14:textFill>
              </w:rPr>
              <w:t>0.9247</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p w14:paraId="7D208994">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2" w:firstLineChars="200"/>
              <w:jc w:val="both"/>
              <w:textAlignment w:val="auto"/>
              <w:rPr>
                <w:rFonts w:hint="eastAsia"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instrText xml:space="preserve"> = 2 \* GB3 \* MERGEFORMAT </w:instrTex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②</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抛光废水沉渣：</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项目抛光工序抛光机运行产生废水，通过循环水池回用时池底产生沉渣。</w:t>
            </w:r>
            <w:r>
              <w:rPr>
                <w:rFonts w:hint="eastAsia" w:ascii="Times New Roman" w:hAnsi="Times New Roman" w:eastAsia="宋体" w:cs="Arial"/>
                <w:snapToGrid w:val="0"/>
                <w:color w:val="000000" w:themeColor="text1"/>
                <w:spacing w:val="0"/>
                <w:kern w:val="0"/>
                <w:sz w:val="21"/>
                <w:szCs w:val="22"/>
                <w:highlight w:val="none"/>
                <w:lang w:val="en-US" w:eastAsia="zh-CN" w:bidi="ar-SA"/>
                <w14:textFill>
                  <w14:solidFill>
                    <w14:schemeClr w14:val="tx1"/>
                  </w14:solidFill>
                </w14:textFill>
              </w:rPr>
              <w:t>抛光的</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颗粒物产生量为0.599t/a，</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由于金属</w:t>
            </w:r>
            <w:r>
              <w:rPr>
                <w:rFonts w:hint="eastAsia" w:ascii="Times New Roman" w:hAnsi="Times New Roman" w:eastAsia="宋体" w:cs="宋体"/>
                <w:snapToGrid w:val="0"/>
                <w:color w:val="000000" w:themeColor="text1"/>
                <w:spacing w:val="0"/>
                <w:kern w:val="0"/>
                <w:sz w:val="21"/>
                <w:szCs w:val="22"/>
                <w:highlight w:val="none"/>
                <w:lang w:val="en-US" w:eastAsia="zh-CN" w:bidi="ar-SA"/>
                <w14:textFill>
                  <w14:solidFill>
                    <w14:schemeClr w14:val="tx1"/>
                  </w14:solidFill>
                </w14:textFill>
              </w:rPr>
              <w:t>颗粒物</w:t>
            </w:r>
            <w:r>
              <w:rPr>
                <w:rFonts w:ascii="Times New Roman" w:hAnsi="Times New Roman" w:eastAsia="宋体" w:cs="宋体"/>
                <w:snapToGrid w:val="0"/>
                <w:color w:val="000000" w:themeColor="text1"/>
                <w:spacing w:val="0"/>
                <w:kern w:val="0"/>
                <w:sz w:val="21"/>
                <w:szCs w:val="22"/>
                <w:highlight w:val="none"/>
                <w:lang w:val="en-US" w:eastAsia="en-US" w:bidi="ar-SA"/>
                <w14:textFill>
                  <w14:solidFill>
                    <w14:schemeClr w14:val="tx1"/>
                  </w14:solidFill>
                </w14:textFill>
              </w:rPr>
              <w:t>粒径较大，比重较重</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约</w:t>
            </w:r>
            <w:r>
              <w:rPr>
                <w:rFonts w:hint="eastAsia" w:cs="Times New Roman"/>
                <w:color w:val="000000" w:themeColor="text1"/>
                <w:kern w:val="0"/>
                <w:sz w:val="21"/>
                <w:szCs w:val="21"/>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0%抛光产生</w:t>
            </w:r>
            <w:r>
              <w:rPr>
                <w:rFonts w:hint="eastAsia" w:cs="Times New Roman"/>
                <w:color w:val="000000" w:themeColor="text1"/>
                <w:kern w:val="0"/>
                <w:sz w:val="21"/>
                <w:szCs w:val="21"/>
                <w:highlight w:val="none"/>
                <w:lang w:val="en-US" w:eastAsia="zh-CN" w:bidi="ar-SA"/>
                <w14:textFill>
                  <w14:solidFill>
                    <w14:schemeClr w14:val="tx1"/>
                  </w14:solidFill>
                </w14:textFill>
              </w:rPr>
              <w:t>的</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颗粒物进入抛光机下方水帘，抛光</w:t>
            </w:r>
            <w:r>
              <w:rPr>
                <w:rFonts w:hint="eastAsia" w:cs="Times New Roman"/>
                <w:color w:val="000000" w:themeColor="text1"/>
                <w:kern w:val="0"/>
                <w:sz w:val="21"/>
                <w:szCs w:val="21"/>
                <w:highlight w:val="none"/>
                <w:lang w:val="en-US" w:eastAsia="zh-CN" w:bidi="ar-SA"/>
                <w14:textFill>
                  <w14:solidFill>
                    <w14:schemeClr w14:val="tx1"/>
                  </w14:solidFill>
                </w14:textFill>
              </w:rPr>
              <w:t>废水</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沉渣产生量为</w:t>
            </w:r>
            <w:r>
              <w:rPr>
                <w:rFonts w:hint="eastAsia" w:cs="Times New Roman"/>
                <w:color w:val="000000" w:themeColor="text1"/>
                <w:kern w:val="0"/>
                <w:sz w:val="21"/>
                <w:szCs w:val="21"/>
                <w:highlight w:val="none"/>
                <w:lang w:val="en-US" w:eastAsia="zh-CN" w:bidi="ar-SA"/>
                <w14:textFill>
                  <w14:solidFill>
                    <w14:schemeClr w14:val="tx1"/>
                  </w14:solidFill>
                </w14:textFill>
              </w:rPr>
              <w:t>0.599</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r>
              <w:rPr>
                <w:rFonts w:hint="eastAsia" w:cs="Times New Roman"/>
                <w:color w:val="000000" w:themeColor="text1"/>
                <w:kern w:val="0"/>
                <w:sz w:val="21"/>
                <w:szCs w:val="21"/>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w:t>
            </w:r>
            <w:r>
              <w:rPr>
                <w:rFonts w:hint="eastAsia" w:cs="Times New Roman"/>
                <w:color w:val="000000" w:themeColor="text1"/>
                <w:kern w:val="0"/>
                <w:sz w:val="21"/>
                <w:szCs w:val="21"/>
                <w:highlight w:val="none"/>
                <w:lang w:val="en-US" w:eastAsia="zh-CN" w:bidi="ar-SA"/>
                <w14:textFill>
                  <w14:solidFill>
                    <w14:schemeClr w14:val="tx1"/>
                  </w14:solidFill>
                </w14:textFill>
              </w:rPr>
              <w:t>0.3594</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p w14:paraId="2E18F3D6">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2" w:firstLineChars="200"/>
              <w:jc w:val="both"/>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instrText xml:space="preserve"> = 3 \* GB3 \* MERGEFORMAT </w:instrTex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③</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废加工耗材：</w:t>
            </w: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项目研磨、</w:t>
            </w: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抛光</w:t>
            </w: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工序使用加工耗材，磨损率按50%，磨损后收集为一般固废，废机加工耗材产生量为</w:t>
            </w: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0.395</w:t>
            </w: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t。</w:t>
            </w:r>
          </w:p>
          <w:p w14:paraId="3E0E703D">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82" w:firstLineChars="200"/>
              <w:jc w:val="center"/>
              <w:textAlignment w:val="auto"/>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表</w:t>
            </w:r>
            <w:r>
              <w:rPr>
                <w:rFonts w:hint="eastAsia" w:cs="Times New Roman"/>
                <w:b/>
                <w:bCs/>
                <w:color w:val="000000" w:themeColor="text1"/>
                <w:kern w:val="0"/>
                <w:sz w:val="24"/>
                <w:szCs w:val="24"/>
                <w:highlight w:val="none"/>
                <w:lang w:val="en-US" w:eastAsia="zh-CN" w:bidi="ar-SA"/>
                <w14:textFill>
                  <w14:solidFill>
                    <w14:schemeClr w14:val="tx1"/>
                  </w14:solidFill>
                </w14:textFill>
              </w:rPr>
              <w:t>40</w:t>
            </w: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废加工耗材核算一览</w:t>
            </w:r>
          </w:p>
          <w:tbl>
            <w:tblPr>
              <w:tblStyle w:val="34"/>
              <w:tblW w:w="7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1411"/>
              <w:gridCol w:w="1276"/>
              <w:gridCol w:w="1276"/>
              <w:gridCol w:w="1613"/>
              <w:gridCol w:w="1613"/>
            </w:tblGrid>
            <w:tr w14:paraId="0810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7" w:type="dxa"/>
                  <w:noWrap w:val="0"/>
                  <w:vAlign w:val="center"/>
                </w:tcPr>
                <w:p w14:paraId="556C346A">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序号</w:t>
                  </w:r>
                </w:p>
              </w:tc>
              <w:tc>
                <w:tcPr>
                  <w:tcW w:w="1411" w:type="dxa"/>
                  <w:noWrap w:val="0"/>
                  <w:vAlign w:val="center"/>
                </w:tcPr>
                <w:p w14:paraId="01531AD6">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原辅材料</w:t>
                  </w:r>
                </w:p>
              </w:tc>
              <w:tc>
                <w:tcPr>
                  <w:tcW w:w="1276" w:type="dxa"/>
                  <w:noWrap w:val="0"/>
                  <w:vAlign w:val="center"/>
                </w:tcPr>
                <w:p w14:paraId="3C17FB7E">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年用量(t)</w:t>
                  </w:r>
                </w:p>
              </w:tc>
              <w:tc>
                <w:tcPr>
                  <w:tcW w:w="1276" w:type="dxa"/>
                  <w:noWrap w:val="0"/>
                  <w:vAlign w:val="center"/>
                </w:tcPr>
                <w:p w14:paraId="7D7CE145">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磨损率</w:t>
                  </w:r>
                </w:p>
              </w:tc>
              <w:tc>
                <w:tcPr>
                  <w:tcW w:w="1613" w:type="dxa"/>
                  <w:noWrap w:val="0"/>
                  <w:vAlign w:val="center"/>
                </w:tcPr>
                <w:p w14:paraId="4BB4B3B9">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工序</w:t>
                  </w:r>
                </w:p>
              </w:tc>
              <w:tc>
                <w:tcPr>
                  <w:tcW w:w="1613" w:type="dxa"/>
                  <w:noWrap w:val="0"/>
                  <w:vAlign w:val="center"/>
                </w:tcPr>
                <w:p w14:paraId="02F7C7DF">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固废产生量(t)</w:t>
                  </w:r>
                </w:p>
              </w:tc>
            </w:tr>
            <w:tr w14:paraId="3008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87" w:type="dxa"/>
                  <w:noWrap w:val="0"/>
                  <w:vAlign w:val="center"/>
                </w:tcPr>
                <w:p w14:paraId="0C605944">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w:t>
                  </w:r>
                </w:p>
              </w:tc>
              <w:tc>
                <w:tcPr>
                  <w:tcW w:w="1411" w:type="dxa"/>
                  <w:noWrap w:val="0"/>
                  <w:vAlign w:val="center"/>
                </w:tcPr>
                <w:p w14:paraId="42D309AD">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砂带</w:t>
                  </w:r>
                </w:p>
              </w:tc>
              <w:tc>
                <w:tcPr>
                  <w:tcW w:w="1276" w:type="dxa"/>
                  <w:noWrap w:val="0"/>
                  <w:vAlign w:val="center"/>
                </w:tcPr>
                <w:p w14:paraId="3EB09AC0">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0.04</w:t>
                  </w:r>
                </w:p>
              </w:tc>
              <w:tc>
                <w:tcPr>
                  <w:tcW w:w="1276" w:type="dxa"/>
                  <w:vMerge w:val="restart"/>
                  <w:noWrap w:val="0"/>
                  <w:vAlign w:val="center"/>
                </w:tcPr>
                <w:p w14:paraId="049A0557">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firstLine="420" w:firstLineChars="200"/>
                    <w:jc w:val="both"/>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50%</w:t>
                  </w:r>
                </w:p>
              </w:tc>
              <w:tc>
                <w:tcPr>
                  <w:tcW w:w="1613" w:type="dxa"/>
                  <w:noWrap w:val="0"/>
                  <w:vAlign w:val="center"/>
                </w:tcPr>
                <w:p w14:paraId="1596D331">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抛光</w:t>
                  </w:r>
                </w:p>
              </w:tc>
              <w:tc>
                <w:tcPr>
                  <w:tcW w:w="1613" w:type="dxa"/>
                  <w:noWrap w:val="0"/>
                  <w:vAlign w:val="center"/>
                </w:tcPr>
                <w:p w14:paraId="2F27E095">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firstLine="420" w:firstLineChars="200"/>
                    <w:jc w:val="both"/>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0.02</w:t>
                  </w:r>
                </w:p>
              </w:tc>
            </w:tr>
            <w:tr w14:paraId="4ABA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787" w:type="dxa"/>
                  <w:noWrap w:val="0"/>
                  <w:vAlign w:val="center"/>
                </w:tcPr>
                <w:p w14:paraId="2B601E84">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2</w:t>
                  </w:r>
                </w:p>
              </w:tc>
              <w:tc>
                <w:tcPr>
                  <w:tcW w:w="1411" w:type="dxa"/>
                  <w:noWrap w:val="0"/>
                  <w:vAlign w:val="center"/>
                </w:tcPr>
                <w:p w14:paraId="119BF3E2">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不锈钢针</w:t>
                  </w:r>
                </w:p>
              </w:tc>
              <w:tc>
                <w:tcPr>
                  <w:tcW w:w="1276" w:type="dxa"/>
                  <w:noWrap w:val="0"/>
                  <w:vAlign w:val="center"/>
                </w:tcPr>
                <w:p w14:paraId="792FDB16">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0.05</w:t>
                  </w:r>
                </w:p>
              </w:tc>
              <w:tc>
                <w:tcPr>
                  <w:tcW w:w="1276" w:type="dxa"/>
                  <w:vMerge w:val="continue"/>
                  <w:noWrap w:val="0"/>
                  <w:vAlign w:val="center"/>
                </w:tcPr>
                <w:p w14:paraId="69B3896A">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firstLine="420" w:firstLineChars="20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p>
              </w:tc>
              <w:tc>
                <w:tcPr>
                  <w:tcW w:w="1613" w:type="dxa"/>
                  <w:noWrap w:val="0"/>
                  <w:vAlign w:val="center"/>
                </w:tcPr>
                <w:p w14:paraId="6273BDC5">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研磨</w:t>
                  </w:r>
                </w:p>
              </w:tc>
              <w:tc>
                <w:tcPr>
                  <w:tcW w:w="1613" w:type="dxa"/>
                  <w:noWrap w:val="0"/>
                  <w:vAlign w:val="center"/>
                </w:tcPr>
                <w:p w14:paraId="3987E29F">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firstLine="420" w:firstLineChars="200"/>
                    <w:jc w:val="both"/>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0.025</w:t>
                  </w:r>
                </w:p>
              </w:tc>
            </w:tr>
            <w:tr w14:paraId="3E61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787" w:type="dxa"/>
                  <w:noWrap w:val="0"/>
                  <w:vAlign w:val="center"/>
                </w:tcPr>
                <w:p w14:paraId="24611D3F">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3</w:t>
                  </w:r>
                </w:p>
              </w:tc>
              <w:tc>
                <w:tcPr>
                  <w:tcW w:w="1411" w:type="dxa"/>
                  <w:noWrap w:val="0"/>
                  <w:vAlign w:val="center"/>
                </w:tcPr>
                <w:p w14:paraId="5D6153F6">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陶瓷</w:t>
                  </w:r>
                </w:p>
              </w:tc>
              <w:tc>
                <w:tcPr>
                  <w:tcW w:w="1276" w:type="dxa"/>
                  <w:noWrap w:val="0"/>
                  <w:vAlign w:val="center"/>
                </w:tcPr>
                <w:p w14:paraId="22D062EA">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0.2</w:t>
                  </w:r>
                </w:p>
              </w:tc>
              <w:tc>
                <w:tcPr>
                  <w:tcW w:w="1276" w:type="dxa"/>
                  <w:vMerge w:val="continue"/>
                  <w:noWrap w:val="0"/>
                  <w:vAlign w:val="center"/>
                </w:tcPr>
                <w:p w14:paraId="310499DD">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firstLine="420" w:firstLineChars="20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p>
              </w:tc>
              <w:tc>
                <w:tcPr>
                  <w:tcW w:w="1613" w:type="dxa"/>
                  <w:noWrap w:val="0"/>
                  <w:vAlign w:val="center"/>
                </w:tcPr>
                <w:p w14:paraId="747F7AD3">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研磨</w:t>
                  </w:r>
                </w:p>
              </w:tc>
              <w:tc>
                <w:tcPr>
                  <w:tcW w:w="1613" w:type="dxa"/>
                  <w:noWrap w:val="0"/>
                  <w:vAlign w:val="center"/>
                </w:tcPr>
                <w:p w14:paraId="4A674DD7">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firstLine="420" w:firstLineChars="200"/>
                    <w:jc w:val="both"/>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0.1</w:t>
                  </w:r>
                </w:p>
              </w:tc>
            </w:tr>
            <w:tr w14:paraId="50F1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787" w:type="dxa"/>
                  <w:noWrap w:val="0"/>
                  <w:vAlign w:val="center"/>
                </w:tcPr>
                <w:p w14:paraId="6B5B2A9F">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4</w:t>
                  </w:r>
                </w:p>
              </w:tc>
              <w:tc>
                <w:tcPr>
                  <w:tcW w:w="1411" w:type="dxa"/>
                  <w:noWrap w:val="0"/>
                  <w:vAlign w:val="center"/>
                </w:tcPr>
                <w:p w14:paraId="56A580A4">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不锈钢砂</w:t>
                  </w:r>
                </w:p>
              </w:tc>
              <w:tc>
                <w:tcPr>
                  <w:tcW w:w="1276" w:type="dxa"/>
                  <w:noWrap w:val="0"/>
                  <w:vAlign w:val="center"/>
                </w:tcPr>
                <w:p w14:paraId="1F26BB34">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0.5</w:t>
                  </w:r>
                </w:p>
              </w:tc>
              <w:tc>
                <w:tcPr>
                  <w:tcW w:w="1276" w:type="dxa"/>
                  <w:vMerge w:val="continue"/>
                  <w:noWrap w:val="0"/>
                  <w:vAlign w:val="center"/>
                </w:tcPr>
                <w:p w14:paraId="1EED145A">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firstLine="420" w:firstLineChars="20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p>
              </w:tc>
              <w:tc>
                <w:tcPr>
                  <w:tcW w:w="1613" w:type="dxa"/>
                  <w:noWrap w:val="0"/>
                  <w:vAlign w:val="center"/>
                </w:tcPr>
                <w:p w14:paraId="2520A67E">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研磨</w:t>
                  </w:r>
                </w:p>
              </w:tc>
              <w:tc>
                <w:tcPr>
                  <w:tcW w:w="1613" w:type="dxa"/>
                  <w:noWrap w:val="0"/>
                  <w:vAlign w:val="center"/>
                </w:tcPr>
                <w:p w14:paraId="31ACE13B">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firstLine="420" w:firstLineChars="200"/>
                    <w:jc w:val="both"/>
                    <w:textAlignment w:val="auto"/>
                    <w:rPr>
                      <w:rFonts w:hint="default"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0.25</w:t>
                  </w:r>
                </w:p>
              </w:tc>
            </w:tr>
            <w:tr w14:paraId="35ED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363" w:type="dxa"/>
                  <w:gridSpan w:val="5"/>
                  <w:noWrap w:val="0"/>
                  <w:vAlign w:val="center"/>
                </w:tcPr>
                <w:p w14:paraId="1D900199">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合计</w:t>
                  </w:r>
                </w:p>
              </w:tc>
              <w:tc>
                <w:tcPr>
                  <w:tcW w:w="1613" w:type="dxa"/>
                  <w:noWrap w:val="0"/>
                  <w:vAlign w:val="center"/>
                </w:tcPr>
                <w:p w14:paraId="0D9CA290">
                  <w:pPr>
                    <w:keepNext w:val="0"/>
                    <w:keepLines w:val="0"/>
                    <w:pageBreakBefore w:val="0"/>
                    <w:widowControl/>
                    <w:shd w:val="clear"/>
                    <w:kinsoku/>
                    <w:wordWrap/>
                    <w:overflowPunct/>
                    <w:topLinePunct w:val="0"/>
                    <w:autoSpaceDE/>
                    <w:autoSpaceDN/>
                    <w:bidi w:val="0"/>
                    <w:adjustRightInd/>
                    <w:snapToGrid w:val="0"/>
                    <w:spacing w:before="0" w:beforeLines="0" w:after="0" w:line="240" w:lineRule="auto"/>
                    <w:ind w:right="0" w:firstLine="420" w:firstLineChars="200"/>
                    <w:jc w:val="both"/>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0.395</w:t>
                  </w:r>
                </w:p>
              </w:tc>
            </w:tr>
          </w:tbl>
          <w:p w14:paraId="757280A8">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2" w:firstLineChars="200"/>
              <w:jc w:val="both"/>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instrText xml:space="preserve"> = 4 \* GB3 \* MERGEFORMAT </w:instrTex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④</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fldChar w:fldCharType="end"/>
            </w:r>
            <w:r>
              <w:rPr>
                <w:rFonts w:hint="eastAsia" w:cs="Times New Roman"/>
                <w:b/>
                <w:bCs/>
                <w:color w:val="000000" w:themeColor="text1"/>
                <w:kern w:val="0"/>
                <w:sz w:val="21"/>
                <w:szCs w:val="21"/>
                <w:highlight w:val="none"/>
                <w:lang w:val="en-US" w:eastAsia="zh-CN" w:bidi="ar-SA"/>
                <w14:textFill>
                  <w14:solidFill>
                    <w14:schemeClr w14:val="tx1"/>
                  </w14:solidFill>
                </w14:textFill>
              </w:rPr>
              <w:t>研磨废水沉渣</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：项目</w:t>
            </w:r>
            <w:r>
              <w:rPr>
                <w:rFonts w:hint="eastAsia" w:cs="Times New Roman"/>
                <w:color w:val="000000" w:themeColor="text1"/>
                <w:kern w:val="0"/>
                <w:sz w:val="21"/>
                <w:szCs w:val="21"/>
                <w:highlight w:val="none"/>
                <w:lang w:val="en-US" w:eastAsia="zh-CN" w:bidi="ar-SA"/>
                <w14:textFill>
                  <w14:solidFill>
                    <w14:schemeClr w14:val="tx1"/>
                  </w14:solidFill>
                </w14:textFill>
              </w:rPr>
              <w:t>研磨工序20%工件采用</w:t>
            </w:r>
            <w:r>
              <w:rPr>
                <w:color w:val="000000" w:themeColor="text1"/>
                <w:kern w:val="0"/>
                <w:szCs w:val="21"/>
                <w:lang w:bidi="ar"/>
                <w14:textFill>
                  <w14:solidFill>
                    <w14:schemeClr w14:val="tx1"/>
                  </w14:solidFill>
                </w14:textFill>
              </w:rPr>
              <w:t>震动盘</w:t>
            </w:r>
            <w:r>
              <w:rPr>
                <w:rFonts w:hint="eastAsia"/>
                <w:color w:val="000000" w:themeColor="text1"/>
                <w:kern w:val="0"/>
                <w:szCs w:val="21"/>
                <w:lang w:eastAsia="zh-CN" w:bidi="ar"/>
                <w14:textFill>
                  <w14:solidFill>
                    <w14:schemeClr w14:val="tx1"/>
                  </w14:solidFill>
                </w14:textFill>
              </w:rPr>
              <w:t>、</w:t>
            </w:r>
            <w:r>
              <w:rPr>
                <w:color w:val="000000" w:themeColor="text1"/>
                <w:kern w:val="0"/>
                <w:szCs w:val="21"/>
                <w:lang w:bidi="ar"/>
                <w14:textFill>
                  <w14:solidFill>
                    <w14:schemeClr w14:val="tx1"/>
                  </w14:solidFill>
                </w14:textFill>
              </w:rPr>
              <w:t>磁力震光机</w:t>
            </w:r>
            <w:r>
              <w:rPr>
                <w:rFonts w:hint="eastAsia"/>
                <w:color w:val="000000" w:themeColor="text1"/>
                <w:kern w:val="0"/>
                <w:szCs w:val="21"/>
                <w:lang w:val="en-US" w:eastAsia="zh-CN" w:bidi="ar"/>
                <w14:textFill>
                  <w14:solidFill>
                    <w14:schemeClr w14:val="tx1"/>
                  </w14:solidFill>
                </w14:textFill>
              </w:rPr>
              <w:t>进行</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湿磨，工件与研磨介质（</w:t>
            </w:r>
            <w:r>
              <w:rPr>
                <w:rFonts w:hint="eastAsia" w:cs="Times New Roman"/>
                <w:color w:val="000000" w:themeColor="text1"/>
                <w:kern w:val="0"/>
                <w:sz w:val="21"/>
                <w:szCs w:val="21"/>
                <w:highlight w:val="none"/>
                <w:lang w:val="en-US" w:eastAsia="zh-CN" w:bidi="ar-SA"/>
                <w14:textFill>
                  <w14:solidFill>
                    <w14:schemeClr w14:val="tx1"/>
                  </w14:solidFill>
                </w14:textFill>
              </w:rPr>
              <w:t>陶瓷</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、不锈钢针）产生的颗粒物进入研磨废水中。研磨工序</w:t>
            </w:r>
            <w:r>
              <w:rPr>
                <w:rFonts w:hint="eastAsia" w:cs="Times New Roman"/>
                <w:color w:val="000000" w:themeColor="text1"/>
                <w:kern w:val="0"/>
                <w:sz w:val="21"/>
                <w:szCs w:val="21"/>
                <w:highlight w:val="none"/>
                <w:lang w:val="en-US" w:eastAsia="zh-CN" w:bidi="ar-SA"/>
                <w14:textFill>
                  <w14:solidFill>
                    <w14:schemeClr w14:val="tx1"/>
                  </w14:solidFill>
                </w14:textFill>
              </w:rPr>
              <w:t>参考</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“机械行业系数手册-06预处理核算环节-干式预处理件-抛丸、喷砂、打磨-颗粒物的产污系数2.19千克/吨-原料”计算，</w:t>
            </w:r>
            <w:r>
              <w:rPr>
                <w:rFonts w:hint="eastAsia" w:cs="Times New Roman"/>
                <w:b w:val="0"/>
                <w:bCs w:val="0"/>
                <w:color w:val="000000" w:themeColor="text1"/>
                <w:sz w:val="21"/>
                <w:szCs w:val="21"/>
                <w:highlight w:val="none"/>
                <w:lang w:val="en-US" w:eastAsia="zh-CN" w:bidi="ar"/>
                <w14:textFill>
                  <w14:solidFill>
                    <w14:schemeClr w14:val="tx1"/>
                  </w14:solidFill>
                </w14:textFill>
              </w:rPr>
              <w:t>项目年使用锌锭、铝锭原料总量为264.2吨</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，则研磨工件的颗粒物产生量为</w:t>
            </w:r>
            <w:r>
              <w:rPr>
                <w:rFonts w:hint="eastAsia" w:cs="Times New Roman"/>
                <w:color w:val="000000" w:themeColor="text1"/>
                <w:kern w:val="0"/>
                <w:sz w:val="21"/>
                <w:szCs w:val="21"/>
                <w:highlight w:val="none"/>
                <w:lang w:val="en-US" w:eastAsia="zh-CN" w:bidi="ar-SA"/>
                <w14:textFill>
                  <w14:solidFill>
                    <w14:schemeClr w14:val="tx1"/>
                  </w14:solidFill>
                </w14:textFill>
              </w:rPr>
              <w:t>264.2</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r>
              <w:rPr>
                <w:rFonts w:hint="eastAsia" w:cs="Times New Roman"/>
                <w:color w:val="000000" w:themeColor="text1"/>
                <w:kern w:val="0"/>
                <w:sz w:val="21"/>
                <w:szCs w:val="21"/>
                <w:highlight w:val="none"/>
                <w:lang w:val="en-US" w:eastAsia="zh-CN" w:bidi="ar-SA"/>
                <w14:textFill>
                  <w14:solidFill>
                    <w14:schemeClr w14:val="tx1"/>
                  </w14:solidFill>
                </w14:textFill>
              </w:rPr>
              <w:t>20%×</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2.19千克/吨-原料=0.</w:t>
            </w:r>
            <w:r>
              <w:rPr>
                <w:rFonts w:hint="eastAsia" w:cs="Times New Roman"/>
                <w:color w:val="000000" w:themeColor="text1"/>
                <w:kern w:val="0"/>
                <w:sz w:val="21"/>
                <w:szCs w:val="21"/>
                <w:highlight w:val="none"/>
                <w:lang w:val="en-US" w:eastAsia="zh-CN" w:bidi="ar-SA"/>
                <w14:textFill>
                  <w14:solidFill>
                    <w14:schemeClr w14:val="tx1"/>
                  </w14:solidFill>
                </w14:textFill>
              </w:rPr>
              <w:t>116</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t/a；此过程中，研磨介质的损耗按50%计，</w:t>
            </w:r>
            <w:r>
              <w:rPr>
                <w:rFonts w:hint="eastAsia" w:cs="Times New Roman"/>
                <w:color w:val="000000" w:themeColor="text1"/>
                <w:kern w:val="0"/>
                <w:sz w:val="21"/>
                <w:szCs w:val="21"/>
                <w:highlight w:val="none"/>
                <w:lang w:val="en-US" w:eastAsia="zh-CN" w:bidi="ar-SA"/>
                <w14:textFill>
                  <w14:solidFill>
                    <w14:schemeClr w14:val="tx1"/>
                  </w14:solidFill>
                </w14:textFill>
              </w:rPr>
              <w:t>陶瓷</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的用量为</w:t>
            </w:r>
            <w:r>
              <w:rPr>
                <w:rFonts w:hint="eastAsia" w:cs="Times New Roman"/>
                <w:color w:val="000000" w:themeColor="text1"/>
                <w:kern w:val="0"/>
                <w:sz w:val="21"/>
                <w:szCs w:val="21"/>
                <w:highlight w:val="none"/>
                <w:lang w:val="en-US" w:eastAsia="zh-CN" w:bidi="ar-SA"/>
                <w14:textFill>
                  <w14:solidFill>
                    <w14:schemeClr w14:val="tx1"/>
                  </w14:solidFill>
                </w14:textFill>
              </w:rPr>
              <w:t>0.2</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t/a，不锈钢针的用量为0.05t/a，研磨沉渣的产生量为0.</w:t>
            </w:r>
            <w:r>
              <w:rPr>
                <w:rFonts w:hint="eastAsia" w:cs="Times New Roman"/>
                <w:color w:val="000000" w:themeColor="text1"/>
                <w:kern w:val="0"/>
                <w:sz w:val="21"/>
                <w:szCs w:val="21"/>
                <w:highlight w:val="none"/>
                <w:lang w:val="en-US" w:eastAsia="zh-CN" w:bidi="ar-SA"/>
                <w14:textFill>
                  <w14:solidFill>
                    <w14:schemeClr w14:val="tx1"/>
                  </w14:solidFill>
                </w14:textFill>
              </w:rPr>
              <w:t>116</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r>
              <w:rPr>
                <w:rFonts w:hint="eastAsia" w:cs="Times New Roman"/>
                <w:color w:val="000000" w:themeColor="text1"/>
                <w:kern w:val="0"/>
                <w:sz w:val="21"/>
                <w:szCs w:val="21"/>
                <w:highlight w:val="none"/>
                <w:lang w:val="en-US" w:eastAsia="zh-CN" w:bidi="ar-SA"/>
                <w14:textFill>
                  <w14:solidFill>
                    <w14:schemeClr w14:val="tx1"/>
                  </w14:solidFill>
                </w14:textFill>
              </w:rPr>
              <w:t>0.1</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t/a+0.025t/a=</w:t>
            </w:r>
            <w:r>
              <w:rPr>
                <w:rFonts w:hint="eastAsia" w:cs="Times New Roman"/>
                <w:color w:val="000000" w:themeColor="text1"/>
                <w:kern w:val="0"/>
                <w:sz w:val="21"/>
                <w:szCs w:val="21"/>
                <w:highlight w:val="none"/>
                <w:lang w:val="en-US" w:eastAsia="zh-CN" w:bidi="ar-SA"/>
                <w14:textFill>
                  <w14:solidFill>
                    <w14:schemeClr w14:val="tx1"/>
                  </w14:solidFill>
                </w14:textFill>
              </w:rPr>
              <w:t>0.241</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r>
              <w:rPr>
                <w:rFonts w:hint="eastAsia" w:cs="Times New Roman"/>
                <w:color w:val="000000" w:themeColor="text1"/>
                <w:kern w:val="0"/>
                <w:sz w:val="21"/>
                <w:szCs w:val="21"/>
                <w:highlight w:val="none"/>
                <w:lang w:val="en-US" w:eastAsia="zh-CN" w:bidi="ar-SA"/>
                <w14:textFill>
                  <w14:solidFill>
                    <w14:schemeClr w14:val="tx1"/>
                  </w14:solidFill>
                </w14:textFill>
              </w:rPr>
              <w:t>。</w:t>
            </w:r>
          </w:p>
          <w:p w14:paraId="3DE80A43">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2" w:firstLineChars="200"/>
              <w:jc w:val="both"/>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b/>
                <w:bCs/>
                <w:color w:val="000000" w:themeColor="text1"/>
                <w:kern w:val="0"/>
                <w:sz w:val="21"/>
                <w:szCs w:val="21"/>
                <w:highlight w:val="none"/>
                <w:lang w:val="en-US" w:eastAsia="zh-CN" w:bidi="ar-SA"/>
                <w14:textFill>
                  <w14:solidFill>
                    <w14:schemeClr w14:val="tx1"/>
                  </w14:solidFill>
                </w14:textFill>
              </w:rPr>
              <w:t>⑤研磨废气沉降粉尘</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eastAsia" w:cs="Times New Roman"/>
                <w:b w:val="0"/>
                <w:bCs w:val="0"/>
                <w:color w:val="000000" w:themeColor="text1"/>
                <w:sz w:val="21"/>
                <w:szCs w:val="21"/>
                <w:highlight w:val="none"/>
                <w:lang w:val="en-US" w:eastAsia="zh-CN" w:bidi="ar"/>
                <w14:textFill>
                  <w14:solidFill>
                    <w14:schemeClr w14:val="tx1"/>
                  </w14:solidFill>
                </w14:textFill>
              </w:rPr>
              <w:t>项目研磨工序滚砂机研磨采用干式加工，研磨颗粒物产生量为0.539t/a，</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由于金属粉尘粒径、密度均较大，</w:t>
            </w:r>
            <w:r>
              <w:rPr>
                <w:rFonts w:hint="eastAsia" w:cs="Times New Roman"/>
                <w:b w:val="0"/>
                <w:bCs/>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0%粉尘在车间内自由沉降</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定期清扫</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,则研磨沉降粉尘产生量为0.3</w:t>
            </w:r>
            <w:r>
              <w:rPr>
                <w:rFonts w:hint="eastAsia" w:cs="Times New Roman"/>
                <w:b w:val="0"/>
                <w:bCs/>
                <w:color w:val="000000" w:themeColor="text1"/>
                <w:sz w:val="21"/>
                <w:szCs w:val="21"/>
                <w:highlight w:val="none"/>
                <w:lang w:val="en-US" w:eastAsia="zh-CN"/>
                <w14:textFill>
                  <w14:solidFill>
                    <w14:schemeClr w14:val="tx1"/>
                  </w14:solidFill>
                </w14:textFill>
              </w:rPr>
              <w:t>23</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4t/a。</w:t>
            </w:r>
          </w:p>
          <w:p w14:paraId="3057CB86">
            <w:pPr>
              <w:pStyle w:val="48"/>
              <w:keepNext w:val="0"/>
              <w:keepLines w:val="0"/>
              <w:pageBreakBefore w:val="0"/>
              <w:widowControl w:val="0"/>
              <w:kinsoku/>
              <w:wordWrap w:val="0"/>
              <w:overflowPunct w:val="0"/>
              <w:topLinePunct/>
              <w:autoSpaceDE w:val="0"/>
              <w:autoSpaceDN w:val="0"/>
              <w:bidi w:val="0"/>
              <w:adjustRightInd w:val="0"/>
              <w:snapToGrid/>
              <w:spacing w:line="360" w:lineRule="auto"/>
              <w:ind w:firstLine="422" w:firstLineChars="200"/>
              <w:jc w:val="left"/>
              <w:textAlignment w:val="auto"/>
              <w:rPr>
                <w:rFonts w:hint="default"/>
                <w:b/>
                <w:bCs/>
                <w:color w:val="000000" w:themeColor="text1"/>
                <w:lang w:val="en-US" w:eastAsia="zh-CN"/>
                <w14:textFill>
                  <w14:solidFill>
                    <w14:schemeClr w14:val="tx1"/>
                  </w14:solidFill>
                </w14:textFill>
              </w:rPr>
            </w:pPr>
            <w:r>
              <w:rPr>
                <w:rFonts w:hint="eastAsia" w:ascii="Times New Roman" w:cs="Times New Roman"/>
                <w:b/>
                <w:bCs/>
                <w:color w:val="000000" w:themeColor="text1"/>
                <w:kern w:val="0"/>
                <w:sz w:val="21"/>
                <w:szCs w:val="21"/>
                <w:highlight w:val="none"/>
                <w:lang w:val="en-US" w:eastAsia="zh-CN" w:bidi="ar-SA"/>
                <w14:textFill>
                  <w14:solidFill>
                    <w14:schemeClr w14:val="tx1"/>
                  </w14:solidFill>
                </w14:textFill>
              </w:rPr>
              <w:t>⑥一般废弃包装物：</w:t>
            </w:r>
            <w:r>
              <w:rPr>
                <w:rFonts w:hint="eastAsia" w:ascii="Times New Roman" w:hAnsi="Times New Roman" w:eastAsia="宋体"/>
                <w:b w:val="0"/>
                <w:bCs w:val="0"/>
                <w:color w:val="000000" w:themeColor="text1"/>
                <w:spacing w:val="-1"/>
                <w:sz w:val="21"/>
                <w:highlight w:val="none"/>
                <w:lang w:val="en-US" w:eastAsia="zh-CN"/>
                <w14:textFill>
                  <w14:solidFill>
                    <w14:schemeClr w14:val="tx1"/>
                  </w14:solidFill>
                </w14:textFill>
              </w:rPr>
              <w:t>主要为原辅材料的包装物，一般废包装物产生量约0.</w:t>
            </w:r>
            <w:r>
              <w:rPr>
                <w:rFonts w:hint="eastAsia" w:ascii="Times New Roman"/>
                <w:b w:val="0"/>
                <w:bCs w:val="0"/>
                <w:color w:val="000000" w:themeColor="text1"/>
                <w:spacing w:val="-1"/>
                <w:sz w:val="21"/>
                <w:highlight w:val="none"/>
                <w:lang w:val="en-US" w:eastAsia="zh-CN"/>
                <w14:textFill>
                  <w14:solidFill>
                    <w14:schemeClr w14:val="tx1"/>
                  </w14:solidFill>
                </w14:textFill>
              </w:rPr>
              <w:t>218</w:t>
            </w:r>
            <w:r>
              <w:rPr>
                <w:rFonts w:hint="eastAsia" w:ascii="Times New Roman" w:hAnsi="Times New Roman" w:eastAsia="宋体"/>
                <w:b w:val="0"/>
                <w:bCs w:val="0"/>
                <w:color w:val="000000" w:themeColor="text1"/>
                <w:spacing w:val="-1"/>
                <w:sz w:val="21"/>
                <w:highlight w:val="none"/>
                <w:lang w:val="en-US" w:eastAsia="zh-CN"/>
                <w14:textFill>
                  <w14:solidFill>
                    <w14:schemeClr w14:val="tx1"/>
                  </w14:solidFill>
                </w14:textFill>
              </w:rPr>
              <w:t>t/a。</w:t>
            </w:r>
          </w:p>
          <w:p w14:paraId="7D07FD9F">
            <w:pPr>
              <w:pStyle w:val="97"/>
              <w:ind w:firstLine="420"/>
              <w:jc w:val="cente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w:t>
            </w:r>
            <w:r>
              <w:rPr>
                <w:rFonts w:hint="eastAsia" w:eastAsia="宋体" w:cs="Times New Roman"/>
                <w:color w:val="000000" w:themeColor="text1"/>
                <w:sz w:val="24"/>
                <w:szCs w:val="24"/>
                <w:highlight w:val="none"/>
                <w:lang w:val="en-US" w:eastAsia="zh-CN"/>
                <w14:textFill>
                  <w14:solidFill>
                    <w14:schemeClr w14:val="tx1"/>
                  </w14:solidFill>
                </w14:textFill>
              </w:rPr>
              <w:t>41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一</w:t>
            </w:r>
            <w:r>
              <w:rPr>
                <w:rFonts w:hint="default" w:ascii="Times New Roman" w:hAnsi="Times New Roman" w:eastAsia="宋体" w:cs="Times New Roman"/>
                <w:b/>
                <w:bCs w:val="0"/>
                <w:color w:val="000000" w:themeColor="text1"/>
                <w:sz w:val="24"/>
                <w:szCs w:val="24"/>
                <w:highlight w:val="none"/>
                <w:lang w:val="en-US"/>
                <w14:textFill>
                  <w14:solidFill>
                    <w14:schemeClr w14:val="tx1"/>
                  </w14:solidFill>
                </w14:textFill>
              </w:rPr>
              <w:t>般</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废弃</w:t>
            </w:r>
            <w:r>
              <w:rPr>
                <w:rFonts w:hint="default" w:ascii="Times New Roman" w:hAnsi="Times New Roman" w:eastAsia="宋体" w:cs="Times New Roman"/>
                <w:b/>
                <w:bCs w:val="0"/>
                <w:color w:val="000000" w:themeColor="text1"/>
                <w:sz w:val="24"/>
                <w:szCs w:val="24"/>
                <w:highlight w:val="none"/>
                <w:lang w:val="en-US"/>
                <w14:textFill>
                  <w14:solidFill>
                    <w14:schemeClr w14:val="tx1"/>
                  </w14:solidFill>
                </w14:textFill>
              </w:rPr>
              <w:t>包装物</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情况表</w:t>
            </w:r>
          </w:p>
          <w:tbl>
            <w:tblPr>
              <w:tblStyle w:val="34"/>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0"/>
              <w:gridCol w:w="899"/>
              <w:gridCol w:w="1570"/>
              <w:gridCol w:w="1570"/>
              <w:gridCol w:w="1611"/>
              <w:gridCol w:w="1302"/>
            </w:tblGrid>
            <w:tr w14:paraId="0F77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50B180AD">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baseline"/>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t>原材料名称</w:t>
                  </w:r>
                </w:p>
              </w:tc>
              <w:tc>
                <w:tcPr>
                  <w:tcW w:w="548" w:type="pct"/>
                  <w:noWrap w:val="0"/>
                  <w:vAlign w:val="center"/>
                </w:tcPr>
                <w:p w14:paraId="29D9CFF5">
                  <w:pPr>
                    <w:pStyle w:val="103"/>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年用量</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吨</w:t>
                  </w:r>
                </w:p>
              </w:tc>
              <w:tc>
                <w:tcPr>
                  <w:tcW w:w="957" w:type="pct"/>
                  <w:noWrap w:val="0"/>
                  <w:vAlign w:val="center"/>
                </w:tcPr>
                <w:p w14:paraId="7E3E29D1">
                  <w:pPr>
                    <w:pStyle w:val="103"/>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bCs/>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包装方式</w:t>
                  </w:r>
                </w:p>
              </w:tc>
              <w:tc>
                <w:tcPr>
                  <w:tcW w:w="957" w:type="pct"/>
                  <w:noWrap w:val="0"/>
                  <w:vAlign w:val="center"/>
                </w:tcPr>
                <w:p w14:paraId="448413AE">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baseline"/>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t>包装物数量</w:t>
                  </w:r>
                </w:p>
              </w:tc>
              <w:tc>
                <w:tcPr>
                  <w:tcW w:w="980" w:type="pct"/>
                  <w:noWrap w:val="0"/>
                  <w:vAlign w:val="center"/>
                </w:tcPr>
                <w:p w14:paraId="025E1DE4">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baseline"/>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t>单件包装物重量</w:t>
                  </w:r>
                </w:p>
              </w:tc>
              <w:tc>
                <w:tcPr>
                  <w:tcW w:w="793" w:type="pct"/>
                  <w:noWrap w:val="0"/>
                  <w:vAlign w:val="center"/>
                </w:tcPr>
                <w:p w14:paraId="3529F0EF">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baseline"/>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t>总重量（t）</w:t>
                  </w:r>
                </w:p>
              </w:tc>
            </w:tr>
            <w:tr w14:paraId="16A2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2EAA43F2">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14:textFill>
                        <w14:solidFill>
                          <w14:schemeClr w14:val="tx1"/>
                        </w14:solidFill>
                      </w14:textFill>
                    </w:rPr>
                    <w:t>铝</w:t>
                  </w:r>
                  <w:r>
                    <w:rPr>
                      <w:color w:val="000000" w:themeColor="text1"/>
                      <w:szCs w:val="21"/>
                      <w:lang w:val="zh-TW" w:eastAsia="zh-TW"/>
                      <w14:textFill>
                        <w14:solidFill>
                          <w14:schemeClr w14:val="tx1"/>
                        </w14:solidFill>
                      </w14:textFill>
                    </w:rPr>
                    <w:t>锭</w:t>
                  </w:r>
                </w:p>
              </w:tc>
              <w:tc>
                <w:tcPr>
                  <w:tcW w:w="548" w:type="pct"/>
                  <w:noWrap w:val="0"/>
                  <w:vAlign w:val="center"/>
                </w:tcPr>
                <w:p w14:paraId="5AC1DB7D">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243.6</w:t>
                  </w:r>
                </w:p>
              </w:tc>
              <w:tc>
                <w:tcPr>
                  <w:tcW w:w="1558" w:type="dxa"/>
                  <w:noWrap w:val="0"/>
                  <w:vAlign w:val="center"/>
                </w:tcPr>
                <w:p w14:paraId="40F21B82">
                  <w:pPr>
                    <w:shd w:val="clear"/>
                    <w:spacing w:line="240" w:lineRule="auto"/>
                    <w:jc w:val="center"/>
                    <w:rPr>
                      <w:rFonts w:hint="default" w:ascii="Times New Roman" w:hAnsi="Times New Roman" w:eastAsia="宋体" w:cs="Times New Roman"/>
                      <w:color w:val="000000" w:themeColor="text1"/>
                      <w:kern w:val="2"/>
                      <w:sz w:val="21"/>
                      <w:szCs w:val="24"/>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1吨/扎</w:t>
                  </w:r>
                </w:p>
              </w:tc>
              <w:tc>
                <w:tcPr>
                  <w:tcW w:w="957" w:type="pct"/>
                  <w:noWrap w:val="0"/>
                  <w:vAlign w:val="center"/>
                </w:tcPr>
                <w:p w14:paraId="15097C07">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eastAsia" w:cs="Times New Roman"/>
                      <w:color w:val="000000" w:themeColor="text1"/>
                      <w:highlight w:val="none"/>
                      <w:vertAlign w:val="baseline"/>
                      <w:lang w:val="en-US" w:eastAsia="zh-CN"/>
                      <w14:textFill>
                        <w14:solidFill>
                          <w14:schemeClr w14:val="tx1"/>
                        </w14:solidFill>
                      </w14:textFill>
                    </w:rPr>
                    <w:t>244</w:t>
                  </w:r>
                </w:p>
              </w:tc>
              <w:tc>
                <w:tcPr>
                  <w:tcW w:w="980" w:type="pct"/>
                  <w:noWrap w:val="0"/>
                  <w:vAlign w:val="center"/>
                </w:tcPr>
                <w:p w14:paraId="18BBCE3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约0.</w:t>
                  </w:r>
                  <w:r>
                    <w:rPr>
                      <w:rFonts w:hint="eastAsia" w:cs="Times New Roman"/>
                      <w:color w:val="000000" w:themeColor="text1"/>
                      <w:highlight w:val="none"/>
                      <w:vertAlign w:val="baseline"/>
                      <w:lang w:val="en-US" w:eastAsia="zh-CN"/>
                      <w14:textFill>
                        <w14:solidFill>
                          <w14:schemeClr w14:val="tx1"/>
                        </w14:solidFill>
                      </w14:textFill>
                    </w:rPr>
                    <w:t>8</w:t>
                  </w: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kg</w:t>
                  </w:r>
                </w:p>
              </w:tc>
              <w:tc>
                <w:tcPr>
                  <w:tcW w:w="793" w:type="pct"/>
                  <w:noWrap w:val="0"/>
                  <w:vAlign w:val="center"/>
                </w:tcPr>
                <w:p w14:paraId="672EDA0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0.195</w:t>
                  </w:r>
                </w:p>
              </w:tc>
            </w:tr>
            <w:tr w14:paraId="7250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0246EA3D">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lang w:val="en-US" w:eastAsia="zh-CN"/>
                      <w14:textFill>
                        <w14:solidFill>
                          <w14:schemeClr w14:val="tx1"/>
                        </w14:solidFill>
                      </w14:textFill>
                    </w:rPr>
                    <w:t>锌</w:t>
                  </w:r>
                  <w:r>
                    <w:rPr>
                      <w:color w:val="000000" w:themeColor="text1"/>
                      <w:szCs w:val="21"/>
                      <w:lang w:val="zh-TW" w:eastAsia="zh-TW"/>
                      <w14:textFill>
                        <w14:solidFill>
                          <w14:schemeClr w14:val="tx1"/>
                        </w14:solidFill>
                      </w14:textFill>
                    </w:rPr>
                    <w:t>锭</w:t>
                  </w:r>
                </w:p>
              </w:tc>
              <w:tc>
                <w:tcPr>
                  <w:tcW w:w="548" w:type="pct"/>
                  <w:noWrap w:val="0"/>
                  <w:vAlign w:val="center"/>
                </w:tcPr>
                <w:p w14:paraId="7495A081">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20.6</w:t>
                  </w:r>
                </w:p>
              </w:tc>
              <w:tc>
                <w:tcPr>
                  <w:tcW w:w="1558" w:type="dxa"/>
                  <w:noWrap w:val="0"/>
                  <w:vAlign w:val="center"/>
                </w:tcPr>
                <w:p w14:paraId="2A093216">
                  <w:pPr>
                    <w:shd w:val="clear"/>
                    <w:spacing w:line="240" w:lineRule="auto"/>
                    <w:jc w:val="center"/>
                    <w:rPr>
                      <w:rFonts w:hint="default" w:ascii="Times New Roman" w:hAnsi="Times New Roman" w:eastAsia="宋体" w:cs="Times New Roman"/>
                      <w:color w:val="000000" w:themeColor="text1"/>
                      <w:kern w:val="2"/>
                      <w:sz w:val="21"/>
                      <w:szCs w:val="24"/>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1吨/扎</w:t>
                  </w:r>
                </w:p>
              </w:tc>
              <w:tc>
                <w:tcPr>
                  <w:tcW w:w="957" w:type="pct"/>
                  <w:noWrap w:val="0"/>
                  <w:vAlign w:val="center"/>
                </w:tcPr>
                <w:p w14:paraId="07A5DA1B">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eastAsia" w:cs="Times New Roman"/>
                      <w:color w:val="000000" w:themeColor="text1"/>
                      <w:highlight w:val="none"/>
                      <w:vertAlign w:val="baseline"/>
                      <w:lang w:val="en-US" w:eastAsia="zh-CN"/>
                      <w14:textFill>
                        <w14:solidFill>
                          <w14:schemeClr w14:val="tx1"/>
                        </w14:solidFill>
                      </w14:textFill>
                    </w:rPr>
                    <w:t>21</w:t>
                  </w:r>
                </w:p>
              </w:tc>
              <w:tc>
                <w:tcPr>
                  <w:tcW w:w="980" w:type="pct"/>
                  <w:noWrap w:val="0"/>
                  <w:vAlign w:val="center"/>
                </w:tcPr>
                <w:p w14:paraId="540F5D4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约0.</w:t>
                  </w:r>
                  <w:r>
                    <w:rPr>
                      <w:rFonts w:hint="eastAsia" w:cs="Times New Roman"/>
                      <w:color w:val="000000" w:themeColor="text1"/>
                      <w:highlight w:val="none"/>
                      <w:vertAlign w:val="baseline"/>
                      <w:lang w:val="en-US" w:eastAsia="zh-CN"/>
                      <w14:textFill>
                        <w14:solidFill>
                          <w14:schemeClr w14:val="tx1"/>
                        </w14:solidFill>
                      </w14:textFill>
                    </w:rPr>
                    <w:t>8</w:t>
                  </w: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kg</w:t>
                  </w:r>
                </w:p>
              </w:tc>
              <w:tc>
                <w:tcPr>
                  <w:tcW w:w="793" w:type="pct"/>
                  <w:noWrap w:val="0"/>
                  <w:vAlign w:val="center"/>
                </w:tcPr>
                <w:p w14:paraId="3AE59AC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0.017</w:t>
                  </w:r>
                </w:p>
              </w:tc>
            </w:tr>
            <w:tr w14:paraId="42D1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6C17F8E2">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olor w:val="000000" w:themeColor="text1"/>
                      <w:spacing w:val="3"/>
                      <w:sz w:val="21"/>
                      <w:szCs w:val="21"/>
                      <w:highlight w:val="none"/>
                      <w:lang w:val="en-US" w:eastAsia="zh-CN"/>
                      <w14:textFill>
                        <w14:solidFill>
                          <w14:schemeClr w14:val="tx1"/>
                        </w14:solidFill>
                      </w14:textFill>
                    </w:rPr>
                    <w:t>陶瓷</w:t>
                  </w:r>
                </w:p>
              </w:tc>
              <w:tc>
                <w:tcPr>
                  <w:tcW w:w="548" w:type="pct"/>
                  <w:noWrap w:val="0"/>
                  <w:vAlign w:val="center"/>
                </w:tcPr>
                <w:p w14:paraId="629E859E">
                  <w:pPr>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w:t>
                  </w:r>
                </w:p>
              </w:tc>
              <w:tc>
                <w:tcPr>
                  <w:tcW w:w="957" w:type="pct"/>
                  <w:noWrap w:val="0"/>
                  <w:vAlign w:val="center"/>
                </w:tcPr>
                <w:p w14:paraId="7A856113">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25kg/袋</w:t>
                  </w:r>
                </w:p>
              </w:tc>
              <w:tc>
                <w:tcPr>
                  <w:tcW w:w="957" w:type="pct"/>
                  <w:noWrap w:val="0"/>
                  <w:vAlign w:val="center"/>
                </w:tcPr>
                <w:p w14:paraId="138E468B">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eastAsia" w:cs="Times New Roman"/>
                      <w:color w:val="000000" w:themeColor="text1"/>
                      <w:highlight w:val="none"/>
                      <w:vertAlign w:val="baseline"/>
                      <w:lang w:val="en-US" w:eastAsia="zh-CN"/>
                      <w14:textFill>
                        <w14:solidFill>
                          <w14:schemeClr w14:val="tx1"/>
                        </w14:solidFill>
                      </w14:textFill>
                    </w:rPr>
                    <w:t>8</w:t>
                  </w:r>
                </w:p>
              </w:tc>
              <w:tc>
                <w:tcPr>
                  <w:tcW w:w="980" w:type="pct"/>
                  <w:noWrap w:val="0"/>
                  <w:vAlign w:val="center"/>
                </w:tcPr>
                <w:p w14:paraId="524A702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约0.</w:t>
                  </w:r>
                  <w:r>
                    <w:rPr>
                      <w:rFonts w:hint="eastAsia" w:cs="Times New Roman"/>
                      <w:color w:val="000000" w:themeColor="text1"/>
                      <w:highlight w:val="none"/>
                      <w:vertAlign w:val="baseli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kg</w:t>
                  </w:r>
                </w:p>
              </w:tc>
              <w:tc>
                <w:tcPr>
                  <w:tcW w:w="793" w:type="pct"/>
                  <w:noWrap w:val="0"/>
                  <w:vAlign w:val="center"/>
                </w:tcPr>
                <w:p w14:paraId="077FBD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0.0016</w:t>
                  </w:r>
                </w:p>
              </w:tc>
            </w:tr>
            <w:tr w14:paraId="0CED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474D01B9">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olor w:val="000000" w:themeColor="text1"/>
                      <w:spacing w:val="3"/>
                      <w:sz w:val="21"/>
                      <w:szCs w:val="21"/>
                      <w:highlight w:val="none"/>
                      <w:lang w:val="en-US" w:eastAsia="zh-CN"/>
                      <w14:textFill>
                        <w14:solidFill>
                          <w14:schemeClr w14:val="tx1"/>
                        </w14:solidFill>
                      </w14:textFill>
                    </w:rPr>
                    <w:t>不锈钢针</w:t>
                  </w:r>
                </w:p>
              </w:tc>
              <w:tc>
                <w:tcPr>
                  <w:tcW w:w="548" w:type="pct"/>
                  <w:noWrap w:val="0"/>
                  <w:vAlign w:val="center"/>
                </w:tcPr>
                <w:p w14:paraId="508FB97F">
                  <w:pPr>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0.05</w:t>
                  </w:r>
                </w:p>
              </w:tc>
              <w:tc>
                <w:tcPr>
                  <w:tcW w:w="957" w:type="pct"/>
                  <w:noWrap w:val="0"/>
                  <w:vAlign w:val="center"/>
                </w:tcPr>
                <w:p w14:paraId="4FC0E5BD">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25kg/袋</w:t>
                  </w:r>
                </w:p>
              </w:tc>
              <w:tc>
                <w:tcPr>
                  <w:tcW w:w="957" w:type="pct"/>
                  <w:noWrap w:val="0"/>
                  <w:vAlign w:val="center"/>
                </w:tcPr>
                <w:p w14:paraId="06FAE5B0">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eastAsia" w:cs="Times New Roman"/>
                      <w:color w:val="000000" w:themeColor="text1"/>
                      <w:highlight w:val="none"/>
                      <w:vertAlign w:val="baseline"/>
                      <w:lang w:val="en-US" w:eastAsia="zh-CN"/>
                      <w14:textFill>
                        <w14:solidFill>
                          <w14:schemeClr w14:val="tx1"/>
                        </w14:solidFill>
                      </w14:textFill>
                    </w:rPr>
                    <w:t>2</w:t>
                  </w:r>
                </w:p>
              </w:tc>
              <w:tc>
                <w:tcPr>
                  <w:tcW w:w="980" w:type="pct"/>
                  <w:noWrap w:val="0"/>
                  <w:vAlign w:val="center"/>
                </w:tcPr>
                <w:p w14:paraId="320064E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约0.</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kg</w:t>
                  </w:r>
                </w:p>
              </w:tc>
              <w:tc>
                <w:tcPr>
                  <w:tcW w:w="793" w:type="pct"/>
                  <w:noWrap w:val="0"/>
                  <w:vAlign w:val="center"/>
                </w:tcPr>
                <w:p w14:paraId="1755A7D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0.0004</w:t>
                  </w:r>
                </w:p>
              </w:tc>
            </w:tr>
            <w:tr w14:paraId="05B7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35CE704C">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color w:val="000000" w:themeColor="text1"/>
                      <w:spacing w:val="3"/>
                      <w:sz w:val="21"/>
                      <w:szCs w:val="21"/>
                      <w:highlight w:val="none"/>
                      <w:lang w:val="en-US" w:eastAsia="zh-CN"/>
                      <w14:textFill>
                        <w14:solidFill>
                          <w14:schemeClr w14:val="tx1"/>
                        </w14:solidFill>
                      </w14:textFill>
                    </w:rPr>
                    <w:t>不锈钢砂</w:t>
                  </w:r>
                </w:p>
              </w:tc>
              <w:tc>
                <w:tcPr>
                  <w:tcW w:w="548" w:type="pct"/>
                  <w:noWrap w:val="0"/>
                  <w:vAlign w:val="center"/>
                </w:tcPr>
                <w:p w14:paraId="34E3C402">
                  <w:pPr>
                    <w:shd w:val="clea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0.5</w:t>
                  </w:r>
                </w:p>
              </w:tc>
              <w:tc>
                <w:tcPr>
                  <w:tcW w:w="957" w:type="pct"/>
                  <w:noWrap w:val="0"/>
                  <w:vAlign w:val="center"/>
                </w:tcPr>
                <w:p w14:paraId="3DA06539">
                  <w:pPr>
                    <w:shd w:val="clear"/>
                    <w:spacing w:line="240" w:lineRule="auto"/>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25kg/袋</w:t>
                  </w:r>
                </w:p>
              </w:tc>
              <w:tc>
                <w:tcPr>
                  <w:tcW w:w="957" w:type="pct"/>
                  <w:noWrap w:val="0"/>
                  <w:vAlign w:val="center"/>
                </w:tcPr>
                <w:p w14:paraId="7775AD98">
                  <w:pPr>
                    <w:keepNext w:val="0"/>
                    <w:keepLines w:val="0"/>
                    <w:widowControl/>
                    <w:suppressLineNumbers w:val="0"/>
                    <w:jc w:val="center"/>
                    <w:textAlignment w:val="center"/>
                    <w:rPr>
                      <w:rFonts w:hint="default" w:cs="Times New Roman"/>
                      <w:color w:val="000000" w:themeColor="text1"/>
                      <w:highlight w:val="none"/>
                      <w:vertAlign w:val="baseline"/>
                      <w:lang w:val="en-US" w:eastAsia="zh-CN"/>
                      <w14:textFill>
                        <w14:solidFill>
                          <w14:schemeClr w14:val="tx1"/>
                        </w14:solidFill>
                      </w14:textFill>
                    </w:rPr>
                  </w:pPr>
                  <w:r>
                    <w:rPr>
                      <w:rFonts w:hint="eastAsia" w:cs="Times New Roman"/>
                      <w:color w:val="000000" w:themeColor="text1"/>
                      <w:highlight w:val="none"/>
                      <w:vertAlign w:val="baseline"/>
                      <w:lang w:val="en-US" w:eastAsia="zh-CN"/>
                      <w14:textFill>
                        <w14:solidFill>
                          <w14:schemeClr w14:val="tx1"/>
                        </w14:solidFill>
                      </w14:textFill>
                    </w:rPr>
                    <w:t>20</w:t>
                  </w:r>
                </w:p>
              </w:tc>
              <w:tc>
                <w:tcPr>
                  <w:tcW w:w="980" w:type="pct"/>
                  <w:noWrap w:val="0"/>
                  <w:vAlign w:val="center"/>
                </w:tcPr>
                <w:p w14:paraId="6BF118C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约0.</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kg</w:t>
                  </w:r>
                </w:p>
              </w:tc>
              <w:tc>
                <w:tcPr>
                  <w:tcW w:w="793" w:type="pct"/>
                  <w:noWrap w:val="0"/>
                  <w:vAlign w:val="center"/>
                </w:tcPr>
                <w:p w14:paraId="424D5DAA">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0.004</w:t>
                  </w:r>
                </w:p>
              </w:tc>
            </w:tr>
            <w:tr w14:paraId="4F53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6" w:type="pct"/>
                  <w:gridSpan w:val="5"/>
                  <w:noWrap w:val="0"/>
                  <w:vAlign w:val="center"/>
                </w:tcPr>
                <w:p w14:paraId="36A982A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合计</w:t>
                  </w:r>
                </w:p>
              </w:tc>
              <w:tc>
                <w:tcPr>
                  <w:tcW w:w="793" w:type="pct"/>
                  <w:noWrap w:val="0"/>
                  <w:vAlign w:val="center"/>
                </w:tcPr>
                <w:p w14:paraId="5CE6CF3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0.218</w:t>
                  </w:r>
                </w:p>
              </w:tc>
            </w:tr>
          </w:tbl>
          <w:p w14:paraId="3288B29E">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2" w:firstLineChars="200"/>
              <w:jc w:val="both"/>
              <w:textAlignment w:val="auto"/>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b/>
                <w:bCs/>
                <w:color w:val="000000" w:themeColor="text1"/>
                <w:kern w:val="0"/>
                <w:sz w:val="21"/>
                <w:szCs w:val="21"/>
                <w:highlight w:val="none"/>
                <w:lang w:val="en-US" w:eastAsia="zh-CN" w:bidi="ar-SA"/>
                <w14:textFill>
                  <w14:solidFill>
                    <w14:schemeClr w14:val="tx1"/>
                  </w14:solidFill>
                </w14:textFill>
              </w:rPr>
              <w:t>⑦废气瓶：</w:t>
            </w:r>
            <w:r>
              <w:rPr>
                <w:rFonts w:hint="eastAsia" w:cs="Times New Roman"/>
                <w:color w:val="000000" w:themeColor="text1"/>
                <w:kern w:val="0"/>
                <w:sz w:val="21"/>
                <w:szCs w:val="21"/>
                <w:highlight w:val="none"/>
                <w:lang w:val="en-US" w:eastAsia="zh-CN" w:bidi="ar-SA"/>
                <w14:textFill>
                  <w14:solidFill>
                    <w14:schemeClr w14:val="tx1"/>
                  </w14:solidFill>
                </w14:textFill>
              </w:rPr>
              <w:t>项目使用液化石油气，产生相应的废气瓶。液化石油气年用量为28.67t，规格为50kg/瓶，年使用574瓶，单瓶重量为46kg/瓶，则年产废气瓶26.404t/a，交回供应商回收利用。</w:t>
            </w:r>
          </w:p>
          <w:p w14:paraId="29C4656D">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0" w:firstLineChars="200"/>
              <w:jc w:val="both"/>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营运期产生的</w:t>
            </w:r>
            <w:r>
              <w:rPr>
                <w:rFonts w:hint="eastAsia" w:cs="Times New Roman"/>
                <w:color w:val="000000" w:themeColor="text1"/>
                <w:kern w:val="0"/>
                <w:sz w:val="21"/>
                <w:szCs w:val="21"/>
                <w:highlight w:val="none"/>
                <w:lang w:val="en-US" w:eastAsia="zh-CN" w:bidi="ar-SA"/>
                <w14:textFill>
                  <w14:solidFill>
                    <w14:schemeClr w14:val="tx1"/>
                  </w14:solidFill>
                </w14:textFill>
              </w:rPr>
              <w:t>金属碎屑、抛光废水沉渣、废加工耗材、研磨废水沉渣、研磨废气沉降粉尘、一般废弃包装物、废气瓶</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属于一般工业固体废物，</w:t>
            </w:r>
            <w:r>
              <w:rPr>
                <w:rFonts w:hint="eastAsia" w:cs="Times New Roman"/>
                <w:color w:val="000000" w:themeColor="text1"/>
                <w:kern w:val="0"/>
                <w:sz w:val="21"/>
                <w:szCs w:val="21"/>
                <w:highlight w:val="none"/>
                <w:lang w:val="en-US" w:eastAsia="zh-CN" w:bidi="ar-SA"/>
                <w14:textFill>
                  <w14:solidFill>
                    <w14:schemeClr w14:val="tx1"/>
                  </w14:solidFill>
                </w14:textFill>
              </w:rPr>
              <w:t>金属碎屑、抛光废水沉渣、废加工耗材、研磨废水沉渣、研磨废气沉降粉尘、一般废弃包装物</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交由有一般工业固体废物处理单位进行处理</w:t>
            </w:r>
            <w:r>
              <w:rPr>
                <w:rFonts w:hint="eastAsia" w:cs="Times New Roman"/>
                <w:color w:val="000000" w:themeColor="text1"/>
                <w:kern w:val="0"/>
                <w:sz w:val="21"/>
                <w:szCs w:val="21"/>
                <w:highlight w:val="none"/>
                <w:lang w:val="en-US" w:eastAsia="zh-CN" w:bidi="ar-SA"/>
                <w14:textFill>
                  <w14:solidFill>
                    <w14:schemeClr w14:val="tx1"/>
                  </w14:solidFill>
                </w14:textFill>
              </w:rPr>
              <w:t>；废气瓶交由供应商回收利用。</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项目于厂内设置一般固体堆放场用于储存一般固体废物，地面为混凝土结构，并在相应的位置做好相应的标识。必须采取防扬散、防流失、防渗漏或者其他防止污染环境的措施，不得擅自倾倒、堆放、丢弃、遗撒固体废物，且不能相容的固废要分开储存，并在相应的位置做好相应的标识。</w:t>
            </w:r>
          </w:p>
          <w:p w14:paraId="5F0EE282">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82" w:firstLineChars="200"/>
              <w:jc w:val="both"/>
              <w:textAlignment w:val="auto"/>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危险废物：</w:t>
            </w:r>
          </w:p>
          <w:p w14:paraId="02712887">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2" w:firstLineChars="200"/>
              <w:jc w:val="both"/>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①废</w:t>
            </w:r>
            <w:r>
              <w:rPr>
                <w:rFonts w:hint="eastAsia" w:cs="Times New Roman"/>
                <w:b/>
                <w:bCs/>
                <w:color w:val="000000" w:themeColor="text1"/>
                <w:kern w:val="0"/>
                <w:sz w:val="21"/>
                <w:szCs w:val="21"/>
                <w:highlight w:val="none"/>
                <w:lang w:val="en-US" w:eastAsia="zh-CN" w:bidi="ar-SA"/>
                <w14:textFill>
                  <w14:solidFill>
                    <w14:schemeClr w14:val="tx1"/>
                  </w14:solidFill>
                </w14:textFill>
              </w:rPr>
              <w:t>机</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油及其包装物</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：本项目生产过程使用</w:t>
            </w:r>
            <w:r>
              <w:rPr>
                <w:rFonts w:hint="eastAsia" w:cs="Times New Roman"/>
                <w:color w:val="000000" w:themeColor="text1"/>
                <w:kern w:val="0"/>
                <w:sz w:val="21"/>
                <w:szCs w:val="21"/>
                <w:highlight w:val="none"/>
                <w:lang w:val="en-US" w:eastAsia="zh-CN" w:bidi="ar-SA"/>
                <w14:textFill>
                  <w14:solidFill>
                    <w14:schemeClr w14:val="tx1"/>
                  </w14:solidFill>
                </w14:textFill>
              </w:rPr>
              <w:t>机油</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约0.</w:t>
            </w:r>
            <w:r>
              <w:rPr>
                <w:rFonts w:hint="eastAsia" w:cs="Times New Roman"/>
                <w:color w:val="000000" w:themeColor="text1"/>
                <w:kern w:val="0"/>
                <w:sz w:val="21"/>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t/a，规格为2</w:t>
            </w:r>
            <w:r>
              <w:rPr>
                <w:rFonts w:hint="eastAsia" w:cs="Times New Roman"/>
                <w:color w:val="000000" w:themeColor="text1"/>
                <w:kern w:val="0"/>
                <w:sz w:val="21"/>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kg/桶，年使用</w:t>
            </w:r>
            <w:r>
              <w:rPr>
                <w:rFonts w:hint="eastAsia" w:cs="Times New Roman"/>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0桶</w:t>
            </w:r>
            <w:r>
              <w:rPr>
                <w:rFonts w:hint="eastAsia" w:cs="Times New Roman"/>
                <w:color w:val="000000" w:themeColor="text1"/>
                <w:kern w:val="0"/>
                <w:sz w:val="21"/>
                <w:szCs w:val="21"/>
                <w:highlight w:val="none"/>
                <w:lang w:val="en-US" w:eastAsia="zh-CN" w:bidi="ar-SA"/>
                <w14:textFill>
                  <w14:solidFill>
                    <w14:schemeClr w14:val="tx1"/>
                  </w14:solidFill>
                </w14:textFill>
              </w:rPr>
              <w:t>机</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油，每个包装桶约为</w:t>
            </w:r>
            <w:r>
              <w:rPr>
                <w:rFonts w:hint="eastAsia" w:cs="Times New Roman"/>
                <w:color w:val="000000" w:themeColor="text1"/>
                <w:kern w:val="0"/>
                <w:sz w:val="21"/>
                <w:szCs w:val="21"/>
                <w:highlight w:val="none"/>
                <w:lang w:val="en-US" w:eastAsia="zh-CN" w:bidi="ar-SA"/>
                <w14:textFill>
                  <w14:solidFill>
                    <w14:schemeClr w14:val="tx1"/>
                  </w14:solidFill>
                </w14:textFill>
              </w:rPr>
              <w:t>0.5</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kg，则年产生废</w:t>
            </w:r>
            <w:r>
              <w:rPr>
                <w:rFonts w:hint="eastAsia" w:cs="Times New Roman"/>
                <w:color w:val="000000" w:themeColor="text1"/>
                <w:kern w:val="0"/>
                <w:sz w:val="21"/>
                <w:szCs w:val="21"/>
                <w:highlight w:val="none"/>
                <w:lang w:val="en-US" w:eastAsia="zh-CN" w:bidi="ar-SA"/>
                <w14:textFill>
                  <w14:solidFill>
                    <w14:schemeClr w14:val="tx1"/>
                  </w14:solidFill>
                </w14:textFill>
              </w:rPr>
              <w:t>机</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油包装物约0.01t/a；废</w:t>
            </w:r>
            <w:r>
              <w:rPr>
                <w:rFonts w:hint="eastAsia" w:cs="Times New Roman"/>
                <w:color w:val="000000" w:themeColor="text1"/>
                <w:kern w:val="0"/>
                <w:sz w:val="21"/>
                <w:szCs w:val="21"/>
                <w:highlight w:val="none"/>
                <w:lang w:val="en-US" w:eastAsia="zh-CN" w:bidi="ar-SA"/>
                <w14:textFill>
                  <w14:solidFill>
                    <w14:schemeClr w14:val="tx1"/>
                  </w14:solidFill>
                </w14:textFill>
              </w:rPr>
              <w:t>机</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油产生量按照</w:t>
            </w:r>
            <w:r>
              <w:rPr>
                <w:rFonts w:hint="eastAsia" w:cs="Times New Roman"/>
                <w:color w:val="000000" w:themeColor="text1"/>
                <w:kern w:val="0"/>
                <w:sz w:val="21"/>
                <w:szCs w:val="21"/>
                <w:highlight w:val="none"/>
                <w:lang w:val="en-US" w:eastAsia="zh-CN" w:bidi="ar-SA"/>
                <w14:textFill>
                  <w14:solidFill>
                    <w14:schemeClr w14:val="tx1"/>
                  </w14:solidFill>
                </w14:textFill>
              </w:rPr>
              <w:t>机</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油使用量的20%计算，则产生废</w:t>
            </w:r>
            <w:r>
              <w:rPr>
                <w:rFonts w:hint="eastAsia" w:cs="Times New Roman"/>
                <w:color w:val="000000" w:themeColor="text1"/>
                <w:kern w:val="0"/>
                <w:sz w:val="21"/>
                <w:szCs w:val="21"/>
                <w:highlight w:val="none"/>
                <w:lang w:val="en-US" w:eastAsia="zh-CN" w:bidi="ar-SA"/>
                <w14:textFill>
                  <w14:solidFill>
                    <w14:schemeClr w14:val="tx1"/>
                  </w14:solidFill>
                </w14:textFill>
              </w:rPr>
              <w:t>机</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油约0.</w:t>
            </w:r>
            <w:r>
              <w:rPr>
                <w:rFonts w:hint="eastAsia" w:cs="Times New Roman"/>
                <w:color w:val="000000" w:themeColor="text1"/>
                <w:kern w:val="0"/>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t/a，废</w:t>
            </w:r>
            <w:r>
              <w:rPr>
                <w:rFonts w:hint="eastAsia" w:cs="Times New Roman"/>
                <w:color w:val="000000" w:themeColor="text1"/>
                <w:kern w:val="0"/>
                <w:sz w:val="21"/>
                <w:szCs w:val="21"/>
                <w:highlight w:val="none"/>
                <w:lang w:val="en-US" w:eastAsia="zh-CN" w:bidi="ar-SA"/>
                <w14:textFill>
                  <w14:solidFill>
                    <w14:schemeClr w14:val="tx1"/>
                  </w14:solidFill>
                </w14:textFill>
              </w:rPr>
              <w:t>机</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油及其包装物总产生量为0.</w:t>
            </w:r>
            <w:r>
              <w:rPr>
                <w:rFonts w:hint="eastAsia" w:cs="Times New Roman"/>
                <w:color w:val="000000" w:themeColor="text1"/>
                <w:kern w:val="0"/>
                <w:sz w:val="21"/>
                <w:szCs w:val="21"/>
                <w:highlight w:val="none"/>
                <w:lang w:val="en-US" w:eastAsia="zh-CN" w:bidi="ar-SA"/>
                <w14:textFill>
                  <w14:solidFill>
                    <w14:schemeClr w14:val="tx1"/>
                  </w14:solidFill>
                </w14:textFill>
              </w:rPr>
              <w:t>11</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p w14:paraId="0AEDE783">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2" w:firstLineChars="200"/>
              <w:jc w:val="both"/>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②含油废抹布及废手套</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：年使用手套223双，抹布223张，单张抹布重量约为100克，</w:t>
            </w:r>
            <w: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t>一副</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手套重量约为</w:t>
            </w:r>
            <w: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t>40</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克，则含油废抹布及废手套产生量为0.</w:t>
            </w:r>
            <w: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t>031</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p w14:paraId="4AC7823A">
            <w:pPr>
              <w:pStyle w:val="48"/>
              <w:keepNext w:val="0"/>
              <w:keepLines w:val="0"/>
              <w:pageBreakBefore w:val="0"/>
              <w:widowControl w:val="0"/>
              <w:shd w:val="clear"/>
              <w:kinsoku/>
              <w:wordWrap/>
              <w:overflowPunct w:val="0"/>
              <w:topLinePunct/>
              <w:autoSpaceDE w:val="0"/>
              <w:autoSpaceDN w:val="0"/>
              <w:bidi w:val="0"/>
              <w:adjustRightInd w:val="0"/>
              <w:snapToGrid/>
              <w:spacing w:line="360" w:lineRule="auto"/>
              <w:ind w:firstLine="422" w:firstLineChars="200"/>
              <w:jc w:val="both"/>
              <w:textAlignment w:val="auto"/>
              <w:rPr>
                <w:rFonts w:hint="eastAsia" w:ascii="Times New Roman"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shd w:val="clear" w:color="auto" w:fill="auto"/>
                <w:lang w:val="en-US" w:eastAsia="zh-CN" w:bidi="ar-SA"/>
                <w14:textFill>
                  <w14:solidFill>
                    <w14:schemeClr w14:val="tx1"/>
                  </w14:solidFill>
                </w14:textFill>
              </w:rPr>
              <w:t>③</w:t>
            </w:r>
            <w:r>
              <w:rPr>
                <w:rFonts w:hint="eastAsia" w:ascii="Times New Roman" w:cs="Times New Roman"/>
                <w:b/>
                <w:bCs/>
                <w:color w:val="000000" w:themeColor="text1"/>
                <w:kern w:val="0"/>
                <w:sz w:val="21"/>
                <w:szCs w:val="21"/>
                <w:highlight w:val="none"/>
                <w:lang w:val="en-US" w:eastAsia="zh-CN" w:bidi="ar-SA"/>
                <w14:textFill>
                  <w14:solidFill>
                    <w14:schemeClr w14:val="tx1"/>
                  </w14:solidFill>
                </w14:textFill>
              </w:rPr>
              <w:t>废切削液：</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切削液年用量为21t/a，使用后全部交由有相关危险废物经营许可证的单位转移处理，按前文核算废切削液产生量为1.35t/a。</w:t>
            </w:r>
          </w:p>
          <w:p w14:paraId="165B078D">
            <w:pPr>
              <w:keepNext w:val="0"/>
              <w:pageBreakBefore w:val="0"/>
              <w:kinsoku/>
              <w:wordWrap/>
              <w:overflowPunct/>
              <w:topLinePunct w:val="0"/>
              <w:autoSpaceDE/>
              <w:autoSpaceDN/>
              <w:bidi w:val="0"/>
              <w:adjustRightInd/>
              <w:snapToGrid/>
              <w:spacing w:line="360" w:lineRule="auto"/>
              <w:ind w:firstLine="422" w:firstLineChars="200"/>
              <w:textAlignment w:val="auto"/>
              <w:rPr>
                <w:rFonts w:hint="eastAsia"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b/>
                <w:bCs/>
                <w:color w:val="000000" w:themeColor="text1"/>
                <w:kern w:val="0"/>
                <w:sz w:val="21"/>
                <w:szCs w:val="21"/>
                <w:highlight w:val="none"/>
                <w:lang w:val="en-US" w:eastAsia="zh-CN" w:bidi="ar-SA"/>
                <w14:textFill>
                  <w14:solidFill>
                    <w14:schemeClr w14:val="tx1"/>
                  </w14:solidFill>
                </w14:textFill>
              </w:rPr>
              <w:t>④</w:t>
            </w:r>
            <w:r>
              <w:rPr>
                <w:rFonts w:hint="eastAsia" w:cs="Times New Roman"/>
                <w:b/>
                <w:bCs/>
                <w:color w:val="000000" w:themeColor="text1"/>
                <w:kern w:val="0"/>
                <w:sz w:val="21"/>
                <w:szCs w:val="21"/>
                <w:highlight w:val="none"/>
                <w:lang w:val="en-US" w:eastAsia="zh-CN" w:bidi="ar-SA"/>
                <w14:textFill>
                  <w14:solidFill>
                    <w14:schemeClr w14:val="tx1"/>
                  </w14:solidFill>
                </w14:textFill>
              </w:rPr>
              <w:t>废包装物：</w:t>
            </w: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项目脱模剂、切削液等原辅材料使用后产生的废包装物收集后交由有相关危险废物经营许可证的单位转移处理，产生量约0.081t/a，计算见下表：</w:t>
            </w:r>
          </w:p>
          <w:p w14:paraId="74E705ED">
            <w:pPr>
              <w:keepNext w:val="0"/>
              <w:pageBreakBefore w:val="0"/>
              <w:kinsoku/>
              <w:wordWrap/>
              <w:overflowPunct/>
              <w:topLinePunct w:val="0"/>
              <w:autoSpaceDE/>
              <w:autoSpaceDN/>
              <w:bidi w:val="0"/>
              <w:adjustRightInd/>
              <w:snapToGrid/>
              <w:spacing w:line="360" w:lineRule="auto"/>
              <w:ind w:firstLine="482" w:firstLineChars="200"/>
              <w:jc w:val="center"/>
              <w:textAlignment w:val="auto"/>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表4</w:t>
            </w:r>
            <w:r>
              <w:rPr>
                <w:rFonts w:hint="eastAsia" w:cs="Times New Roman"/>
                <w:b/>
                <w:bCs/>
                <w:color w:val="000000" w:themeColor="text1"/>
                <w:kern w:val="0"/>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废包装物产生量一览表</w:t>
            </w:r>
          </w:p>
          <w:tbl>
            <w:tblPr>
              <w:tblStyle w:val="34"/>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0"/>
              <w:gridCol w:w="899"/>
              <w:gridCol w:w="1570"/>
              <w:gridCol w:w="1570"/>
              <w:gridCol w:w="1611"/>
              <w:gridCol w:w="1302"/>
            </w:tblGrid>
            <w:tr w14:paraId="01CC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62" w:type="pct"/>
                  <w:noWrap w:val="0"/>
                  <w:vAlign w:val="center"/>
                </w:tcPr>
                <w:p w14:paraId="1BEED6DD">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baseline"/>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t>原材料名称</w:t>
                  </w:r>
                </w:p>
              </w:tc>
              <w:tc>
                <w:tcPr>
                  <w:tcW w:w="548" w:type="pct"/>
                  <w:noWrap w:val="0"/>
                  <w:vAlign w:val="center"/>
                </w:tcPr>
                <w:p w14:paraId="54229BC4">
                  <w:pPr>
                    <w:pStyle w:val="103"/>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年用量</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吨</w:t>
                  </w:r>
                </w:p>
              </w:tc>
              <w:tc>
                <w:tcPr>
                  <w:tcW w:w="957" w:type="pct"/>
                  <w:noWrap w:val="0"/>
                  <w:vAlign w:val="center"/>
                </w:tcPr>
                <w:p w14:paraId="114BF247">
                  <w:pPr>
                    <w:pStyle w:val="103"/>
                    <w:keepNext w:val="0"/>
                    <w:keepLines w:val="0"/>
                    <w:pageBreakBefore w:val="0"/>
                    <w:widowControl/>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bCs/>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包装方式</w:t>
                  </w:r>
                </w:p>
              </w:tc>
              <w:tc>
                <w:tcPr>
                  <w:tcW w:w="957" w:type="pct"/>
                  <w:noWrap w:val="0"/>
                  <w:vAlign w:val="center"/>
                </w:tcPr>
                <w:p w14:paraId="1D93E9B7">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baseline"/>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t>包装物数量</w:t>
                  </w:r>
                </w:p>
              </w:tc>
              <w:tc>
                <w:tcPr>
                  <w:tcW w:w="980" w:type="pct"/>
                  <w:noWrap w:val="0"/>
                  <w:vAlign w:val="center"/>
                </w:tcPr>
                <w:p w14:paraId="3CFC9403">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baseline"/>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t>单件包装物重量</w:t>
                  </w:r>
                </w:p>
              </w:tc>
              <w:tc>
                <w:tcPr>
                  <w:tcW w:w="793" w:type="pct"/>
                  <w:noWrap w:val="0"/>
                  <w:vAlign w:val="center"/>
                </w:tcPr>
                <w:p w14:paraId="22850B4A">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baseline"/>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0"/>
                      <w:highlight w:val="none"/>
                      <w:vertAlign w:val="baseline"/>
                      <w:lang w:val="en-US" w:eastAsia="zh-CN" w:bidi="ar-SA"/>
                      <w14:textFill>
                        <w14:solidFill>
                          <w14:schemeClr w14:val="tx1"/>
                        </w14:solidFill>
                      </w14:textFill>
                    </w:rPr>
                    <w:t>总重量（t）</w:t>
                  </w:r>
                </w:p>
              </w:tc>
            </w:tr>
            <w:tr w14:paraId="1466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2AD23A45">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切削液</w:t>
                  </w:r>
                </w:p>
              </w:tc>
              <w:tc>
                <w:tcPr>
                  <w:tcW w:w="548" w:type="pct"/>
                  <w:noWrap w:val="0"/>
                  <w:vAlign w:val="center"/>
                </w:tcPr>
                <w:p w14:paraId="7A4A0B54">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w:t>
                  </w:r>
                </w:p>
              </w:tc>
              <w:tc>
                <w:tcPr>
                  <w:tcW w:w="957" w:type="pct"/>
                  <w:noWrap w:val="0"/>
                  <w:vAlign w:val="center"/>
                </w:tcPr>
                <w:p w14:paraId="4C01BFB5">
                  <w:pPr>
                    <w:shd w:val="clear"/>
                    <w:spacing w:line="240" w:lineRule="auto"/>
                    <w:jc w:val="center"/>
                    <w:rPr>
                      <w:rFonts w:hint="default" w:ascii="Times New Roman" w:hAnsi="Times New Roman" w:eastAsia="宋体" w:cs="Times New Roman"/>
                      <w:color w:val="000000" w:themeColor="text1"/>
                      <w:kern w:val="2"/>
                      <w:sz w:val="21"/>
                      <w:szCs w:val="24"/>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25kg/桶</w:t>
                  </w:r>
                </w:p>
              </w:tc>
              <w:tc>
                <w:tcPr>
                  <w:tcW w:w="957" w:type="pct"/>
                  <w:noWrap w:val="0"/>
                  <w:vAlign w:val="center"/>
                </w:tcPr>
                <w:p w14:paraId="1B3EB9C8">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eastAsia" w:cs="Times New Roman"/>
                      <w:color w:val="000000" w:themeColor="text1"/>
                      <w:highlight w:val="none"/>
                      <w:vertAlign w:val="baseline"/>
                      <w:lang w:val="en-US" w:eastAsia="zh-CN"/>
                      <w14:textFill>
                        <w14:solidFill>
                          <w14:schemeClr w14:val="tx1"/>
                        </w14:solidFill>
                      </w14:textFill>
                    </w:rPr>
                    <w:t>40</w:t>
                  </w:r>
                </w:p>
              </w:tc>
              <w:tc>
                <w:tcPr>
                  <w:tcW w:w="980" w:type="pct"/>
                  <w:noWrap w:val="0"/>
                  <w:vAlign w:val="center"/>
                </w:tcPr>
                <w:p w14:paraId="16C12EA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约0.5kg</w:t>
                  </w:r>
                </w:p>
              </w:tc>
              <w:tc>
                <w:tcPr>
                  <w:tcW w:w="793" w:type="pct"/>
                  <w:noWrap w:val="0"/>
                  <w:vAlign w:val="center"/>
                </w:tcPr>
                <w:p w14:paraId="73FA5B3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w:t>
                  </w:r>
                  <w:r>
                    <w:rPr>
                      <w:rFonts w:hint="eastAsia" w:cs="Times New Roman"/>
                      <w:color w:val="000000" w:themeColor="text1"/>
                      <w:sz w:val="21"/>
                      <w:szCs w:val="21"/>
                      <w:highlight w:val="none"/>
                      <w:vertAlign w:val="baseline"/>
                      <w:lang w:val="en-US" w:eastAsia="zh-CN"/>
                      <w14:textFill>
                        <w14:solidFill>
                          <w14:schemeClr w14:val="tx1"/>
                        </w14:solidFill>
                      </w14:textFill>
                    </w:rPr>
                    <w:t>02</w:t>
                  </w:r>
                </w:p>
              </w:tc>
            </w:tr>
            <w:tr w14:paraId="1427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2402591E">
                  <w:pPr>
                    <w:ind w:right="15"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脱模剂</w:t>
                  </w:r>
                </w:p>
              </w:tc>
              <w:tc>
                <w:tcPr>
                  <w:tcW w:w="548" w:type="pct"/>
                  <w:noWrap w:val="0"/>
                  <w:vAlign w:val="center"/>
                </w:tcPr>
                <w:p w14:paraId="1DD1B898">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3</w:t>
                  </w:r>
                </w:p>
              </w:tc>
              <w:tc>
                <w:tcPr>
                  <w:tcW w:w="957" w:type="pct"/>
                  <w:noWrap w:val="0"/>
                  <w:vAlign w:val="center"/>
                </w:tcPr>
                <w:p w14:paraId="7D773CD1">
                  <w:pPr>
                    <w:shd w:val="clear"/>
                    <w:spacing w:line="240" w:lineRule="auto"/>
                    <w:jc w:val="center"/>
                    <w:rPr>
                      <w:rFonts w:hint="default" w:ascii="Times New Roman" w:hAnsi="Times New Roman" w:eastAsia="宋体" w:cs="Times New Roman"/>
                      <w:color w:val="000000" w:themeColor="text1"/>
                      <w:kern w:val="2"/>
                      <w:sz w:val="21"/>
                      <w:szCs w:val="24"/>
                      <w:highlight w:val="none"/>
                      <w:vertAlign w:val="baseli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25kg/桶</w:t>
                  </w:r>
                </w:p>
              </w:tc>
              <w:tc>
                <w:tcPr>
                  <w:tcW w:w="957" w:type="pct"/>
                  <w:noWrap w:val="0"/>
                  <w:vAlign w:val="center"/>
                </w:tcPr>
                <w:p w14:paraId="1AB0A225">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eastAsia" w:cs="Times New Roman"/>
                      <w:color w:val="000000" w:themeColor="text1"/>
                      <w:highlight w:val="none"/>
                      <w:vertAlign w:val="baseline"/>
                      <w:lang w:val="en-US" w:eastAsia="zh-CN"/>
                      <w14:textFill>
                        <w14:solidFill>
                          <w14:schemeClr w14:val="tx1"/>
                        </w14:solidFill>
                      </w14:textFill>
                    </w:rPr>
                    <w:t>120</w:t>
                  </w:r>
                </w:p>
              </w:tc>
              <w:tc>
                <w:tcPr>
                  <w:tcW w:w="980" w:type="pct"/>
                  <w:noWrap w:val="0"/>
                  <w:vAlign w:val="center"/>
                </w:tcPr>
                <w:p w14:paraId="1D5D24E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约0.5kg</w:t>
                  </w:r>
                </w:p>
              </w:tc>
              <w:tc>
                <w:tcPr>
                  <w:tcW w:w="793" w:type="pct"/>
                  <w:noWrap w:val="0"/>
                  <w:vAlign w:val="center"/>
                </w:tcPr>
                <w:p w14:paraId="17CB4BE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0.06</w:t>
                  </w:r>
                </w:p>
              </w:tc>
            </w:tr>
            <w:tr w14:paraId="3625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693901D9">
                  <w:pPr>
                    <w:pStyle w:val="7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洗洁精</w:t>
                  </w:r>
                </w:p>
              </w:tc>
              <w:tc>
                <w:tcPr>
                  <w:tcW w:w="548" w:type="pct"/>
                  <w:noWrap w:val="0"/>
                  <w:vAlign w:val="center"/>
                </w:tcPr>
                <w:p w14:paraId="130B1081">
                  <w:pPr>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0.03</w:t>
                  </w:r>
                </w:p>
              </w:tc>
              <w:tc>
                <w:tcPr>
                  <w:tcW w:w="957" w:type="pct"/>
                  <w:noWrap w:val="0"/>
                  <w:vAlign w:val="center"/>
                </w:tcPr>
                <w:p w14:paraId="2F4BC2D4">
                  <w:pPr>
                    <w:shd w:val="clea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25kg/瓶</w:t>
                  </w:r>
                </w:p>
              </w:tc>
              <w:tc>
                <w:tcPr>
                  <w:tcW w:w="957" w:type="pct"/>
                  <w:noWrap w:val="0"/>
                  <w:vAlign w:val="center"/>
                </w:tcPr>
                <w:p w14:paraId="237352EF">
                  <w:pPr>
                    <w:keepNext w:val="0"/>
                    <w:keepLines w:val="0"/>
                    <w:widowControl/>
                    <w:suppressLineNumbers w:val="0"/>
                    <w:jc w:val="center"/>
                    <w:textAlignment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eastAsia" w:cs="Times New Roman"/>
                      <w:color w:val="000000" w:themeColor="text1"/>
                      <w:highlight w:val="none"/>
                      <w:vertAlign w:val="baseline"/>
                      <w:lang w:val="en-US" w:eastAsia="zh-CN"/>
                      <w14:textFill>
                        <w14:solidFill>
                          <w14:schemeClr w14:val="tx1"/>
                        </w14:solidFill>
                      </w14:textFill>
                    </w:rPr>
                    <w:t>2</w:t>
                  </w:r>
                </w:p>
              </w:tc>
              <w:tc>
                <w:tcPr>
                  <w:tcW w:w="980" w:type="pct"/>
                  <w:noWrap w:val="0"/>
                  <w:vAlign w:val="center"/>
                </w:tcPr>
                <w:p w14:paraId="394D04A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约0.5kg</w:t>
                  </w:r>
                </w:p>
              </w:tc>
              <w:tc>
                <w:tcPr>
                  <w:tcW w:w="793" w:type="pct"/>
                  <w:noWrap w:val="0"/>
                  <w:vAlign w:val="center"/>
                </w:tcPr>
                <w:p w14:paraId="100DB8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0.001</w:t>
                  </w:r>
                </w:p>
              </w:tc>
            </w:tr>
            <w:tr w14:paraId="2599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6" w:type="pct"/>
                  <w:gridSpan w:val="5"/>
                  <w:noWrap w:val="0"/>
                  <w:vAlign w:val="center"/>
                </w:tcPr>
                <w:p w14:paraId="376DABE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t>合计</w:t>
                  </w:r>
                </w:p>
              </w:tc>
              <w:tc>
                <w:tcPr>
                  <w:tcW w:w="793" w:type="pct"/>
                  <w:noWrap w:val="0"/>
                  <w:vAlign w:val="center"/>
                </w:tcPr>
                <w:p w14:paraId="60163D4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0.081</w:t>
                  </w:r>
                </w:p>
              </w:tc>
            </w:tr>
          </w:tbl>
          <w:p w14:paraId="18520E29">
            <w:pPr>
              <w:pStyle w:val="48"/>
              <w:keepNext w:val="0"/>
              <w:keepLines w:val="0"/>
              <w:pageBreakBefore w:val="0"/>
              <w:widowControl w:val="0"/>
              <w:shd w:val="clear"/>
              <w:kinsoku/>
              <w:wordWrap/>
              <w:overflowPunct w:val="0"/>
              <w:topLinePunct/>
              <w:autoSpaceDE w:val="0"/>
              <w:autoSpaceDN w:val="0"/>
              <w:bidi w:val="0"/>
              <w:adjustRightInd w:val="0"/>
              <w:snapToGrid/>
              <w:spacing w:line="360" w:lineRule="auto"/>
              <w:ind w:firstLine="422" w:firstLineChars="200"/>
              <w:jc w:val="both"/>
              <w:textAlignment w:val="auto"/>
              <w:rPr>
                <w:rFonts w:hint="eastAsia" w:ascii="Times New Roman"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b/>
                <w:bCs/>
                <w:color w:val="000000" w:themeColor="text1"/>
                <w:kern w:val="0"/>
                <w:sz w:val="21"/>
                <w:szCs w:val="21"/>
                <w:highlight w:val="none"/>
                <w:lang w:val="en-US" w:eastAsia="zh-CN" w:bidi="ar-SA"/>
                <w14:textFill>
                  <w14:solidFill>
                    <w14:schemeClr w14:val="tx1"/>
                  </w14:solidFill>
                </w14:textFill>
              </w:rPr>
              <w:t>⑤</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废</w:t>
            </w:r>
            <w:r>
              <w:rPr>
                <w:rFonts w:hint="eastAsia" w:cs="Times New Roman"/>
                <w:b/>
                <w:bCs/>
                <w:color w:val="000000" w:themeColor="text1"/>
                <w:kern w:val="0"/>
                <w:sz w:val="21"/>
                <w:szCs w:val="21"/>
                <w:highlight w:val="none"/>
                <w:lang w:val="en-US" w:eastAsia="zh-CN" w:bidi="ar-SA"/>
                <w14:textFill>
                  <w14:solidFill>
                    <w14:schemeClr w14:val="tx1"/>
                  </w14:solidFill>
                </w14:textFill>
              </w:rPr>
              <w:t>火花</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油及其包装物</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：本项目生产过程使用</w:t>
            </w:r>
            <w:r>
              <w:rPr>
                <w:rFonts w:hint="eastAsia" w:cs="Times New Roman"/>
                <w:color w:val="000000" w:themeColor="text1"/>
                <w:kern w:val="0"/>
                <w:sz w:val="21"/>
                <w:szCs w:val="21"/>
                <w:highlight w:val="none"/>
                <w:lang w:val="en-US" w:eastAsia="zh-CN" w:bidi="ar-SA"/>
                <w14:textFill>
                  <w14:solidFill>
                    <w14:schemeClr w14:val="tx1"/>
                  </w14:solidFill>
                </w14:textFill>
              </w:rPr>
              <w:t>火花油</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约0.2</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t/a，规格为2</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0kg/桶，年使用1桶</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火花</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单</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个包装桶约为</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15</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kg，则年产生废</w:t>
            </w:r>
            <w:r>
              <w:rPr>
                <w:rFonts w:hint="eastAsia" w:cs="Times New Roman"/>
                <w:color w:val="000000" w:themeColor="text1"/>
                <w:kern w:val="0"/>
                <w:sz w:val="21"/>
                <w:szCs w:val="21"/>
                <w:highlight w:val="none"/>
                <w:lang w:val="en-US" w:eastAsia="zh-CN" w:bidi="ar-SA"/>
                <w14:textFill>
                  <w14:solidFill>
                    <w14:schemeClr w14:val="tx1"/>
                  </w14:solidFill>
                </w14:textFill>
              </w:rPr>
              <w:t>火花油</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包装物约0.0</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15</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t/a；废</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火花</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油产生量按照</w:t>
            </w:r>
            <w:r>
              <w:rPr>
                <w:rFonts w:hint="eastAsia" w:cs="Times New Roman"/>
                <w:color w:val="000000" w:themeColor="text1"/>
                <w:kern w:val="0"/>
                <w:sz w:val="21"/>
                <w:szCs w:val="21"/>
                <w:highlight w:val="none"/>
                <w:lang w:val="en-US" w:eastAsia="zh-CN" w:bidi="ar-SA"/>
                <w14:textFill>
                  <w14:solidFill>
                    <w14:schemeClr w14:val="tx1"/>
                  </w14:solidFill>
                </w14:textFill>
              </w:rPr>
              <w:t>火花</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油使用量的20%计算，则产生废</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火花</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油约0.04</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t/a，废</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火花</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油及其包装物总产生量为0.0</w:t>
            </w:r>
            <w:r>
              <w:rPr>
                <w:rFonts w:hint="eastAsia" w:ascii="Times New Roman" w:cs="Times New Roman"/>
                <w:color w:val="000000" w:themeColor="text1"/>
                <w:kern w:val="0"/>
                <w:sz w:val="21"/>
                <w:szCs w:val="21"/>
                <w:highlight w:val="none"/>
                <w:lang w:val="en-US" w:eastAsia="zh-CN" w:bidi="ar-SA"/>
                <w14:textFill>
                  <w14:solidFill>
                    <w14:schemeClr w14:val="tx1"/>
                  </w14:solidFill>
                </w14:textFill>
              </w:rPr>
              <w:t>59</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p w14:paraId="6C616020">
            <w:pPr>
              <w:keepNext w:val="0"/>
              <w:keepLines/>
              <w:pageBreakBefore w:val="0"/>
              <w:widowControl/>
              <w:numPr>
                <w:ilvl w:val="0"/>
                <w:numId w:val="0"/>
              </w:numPr>
              <w:kinsoku/>
              <w:wordWrap/>
              <w:overflowPunct/>
              <w:topLinePunct w:val="0"/>
              <w:autoSpaceDE/>
              <w:autoSpaceDN/>
              <w:bidi w:val="0"/>
              <w:adjustRightInd/>
              <w:snapToGrid/>
              <w:spacing w:line="360" w:lineRule="auto"/>
              <w:ind w:leftChars="0" w:firstLine="422" w:firstLineChars="200"/>
              <w:jc w:val="both"/>
              <w:textAlignment w:val="auto"/>
              <w:rPr>
                <w:rFonts w:hint="eastAsia" w:ascii="Times New Roman" w:hAnsi="Times New Roman" w:eastAsia="宋体"/>
                <w:color w:val="000000" w:themeColor="text1"/>
                <w:spacing w:val="0"/>
                <w:sz w:val="21"/>
                <w:highlight w:val="none"/>
                <w:lang w:val="en-US" w:eastAsia="zh-CN"/>
                <w14:textFill>
                  <w14:solidFill>
                    <w14:schemeClr w14:val="tx1"/>
                  </w14:solidFill>
                </w14:textFill>
              </w:rPr>
            </w:pPr>
            <w:r>
              <w:rPr>
                <w:rFonts w:hint="eastAsia" w:cs="Times New Roman"/>
                <w:b/>
                <w:bCs/>
                <w:color w:val="000000" w:themeColor="text1"/>
                <w:kern w:val="0"/>
                <w:sz w:val="21"/>
                <w:szCs w:val="21"/>
                <w:highlight w:val="none"/>
                <w:lang w:val="en-US" w:eastAsia="zh-CN" w:bidi="ar-SA"/>
                <w14:textFill>
                  <w14:solidFill>
                    <w14:schemeClr w14:val="tx1"/>
                  </w14:solidFill>
                </w14:textFill>
              </w:rPr>
              <w:t>⑥</w:t>
            </w:r>
            <w:r>
              <w:rPr>
                <w:rFonts w:hint="eastAsia" w:ascii="Times New Roman" w:hAnsi="Times New Roman" w:eastAsia="宋体"/>
                <w:b/>
                <w:bCs/>
                <w:color w:val="000000" w:themeColor="text1"/>
                <w:spacing w:val="0"/>
                <w:sz w:val="21"/>
                <w:highlight w:val="none"/>
                <w:lang w:val="en-US" w:eastAsia="zh-CN"/>
                <w14:textFill>
                  <w14:solidFill>
                    <w14:schemeClr w14:val="tx1"/>
                  </w14:solidFill>
                </w14:textFill>
              </w:rPr>
              <w:t>锌、铝熔渣</w:t>
            </w:r>
            <w:r>
              <w:rPr>
                <w:rFonts w:hint="eastAsia" w:ascii="Times New Roman" w:hAnsi="Times New Roman" w:eastAsia="宋体"/>
                <w:color w:val="000000" w:themeColor="text1"/>
                <w:spacing w:val="0"/>
                <w:sz w:val="21"/>
                <w:highlight w:val="none"/>
                <w:lang w:val="en-US" w:eastAsia="zh-CN"/>
                <w14:textFill>
                  <w14:solidFill>
                    <w14:schemeClr w14:val="tx1"/>
                  </w14:solidFill>
                </w14:textFill>
              </w:rPr>
              <w:t>：熔融、压铸工序产生的锌、铝熔渣约占金属原料</w:t>
            </w:r>
            <w:r>
              <w:rPr>
                <w:rFonts w:hint="eastAsia"/>
                <w:color w:val="000000" w:themeColor="text1"/>
                <w:spacing w:val="0"/>
                <w:sz w:val="21"/>
                <w:highlight w:val="none"/>
                <w:lang w:val="en-US" w:eastAsia="zh-CN"/>
                <w14:textFill>
                  <w14:solidFill>
                    <w14:schemeClr w14:val="tx1"/>
                  </w14:solidFill>
                </w14:textFill>
              </w:rPr>
              <w:t>264.2t</w:t>
            </w:r>
            <w:r>
              <w:rPr>
                <w:rFonts w:hint="eastAsia" w:ascii="Times New Roman" w:hAnsi="Times New Roman" w:eastAsia="宋体"/>
                <w:color w:val="000000" w:themeColor="text1"/>
                <w:spacing w:val="0"/>
                <w:sz w:val="21"/>
                <w:highlight w:val="none"/>
                <w:lang w:val="en-US" w:eastAsia="zh-CN"/>
                <w14:textFill>
                  <w14:solidFill>
                    <w14:schemeClr w14:val="tx1"/>
                  </w14:solidFill>
                </w14:textFill>
              </w:rPr>
              <w:t>的</w:t>
            </w:r>
            <w:r>
              <w:rPr>
                <w:rFonts w:hint="eastAsia" w:eastAsia="宋体"/>
                <w:color w:val="000000" w:themeColor="text1"/>
                <w:spacing w:val="0"/>
                <w:sz w:val="21"/>
                <w:highlight w:val="none"/>
                <w:lang w:val="en-US" w:eastAsia="zh-CN"/>
                <w14:textFill>
                  <w14:solidFill>
                    <w14:schemeClr w14:val="tx1"/>
                  </w14:solidFill>
                </w14:textFill>
              </w:rPr>
              <w:t>0.</w:t>
            </w:r>
            <w:r>
              <w:rPr>
                <w:rFonts w:hint="eastAsia"/>
                <w:color w:val="000000" w:themeColor="text1"/>
                <w:spacing w:val="0"/>
                <w:sz w:val="21"/>
                <w:highlight w:val="none"/>
                <w:lang w:val="en-US" w:eastAsia="zh-CN"/>
                <w14:textFill>
                  <w14:solidFill>
                    <w14:schemeClr w14:val="tx1"/>
                  </w14:solidFill>
                </w14:textFill>
              </w:rPr>
              <w:t>5</w:t>
            </w:r>
            <w:r>
              <w:rPr>
                <w:rFonts w:hint="eastAsia" w:ascii="Times New Roman" w:hAnsi="Times New Roman" w:eastAsia="宋体"/>
                <w:color w:val="000000" w:themeColor="text1"/>
                <w:spacing w:val="0"/>
                <w:sz w:val="21"/>
                <w:highlight w:val="none"/>
                <w:lang w:val="en-US" w:eastAsia="zh-CN"/>
                <w14:textFill>
                  <w14:solidFill>
                    <w14:schemeClr w14:val="tx1"/>
                  </w14:solidFill>
                </w14:textFill>
              </w:rPr>
              <w:t>%，则锌、铝熔渣产生量为</w:t>
            </w:r>
            <w:r>
              <w:rPr>
                <w:rFonts w:hint="eastAsia"/>
                <w:color w:val="000000" w:themeColor="text1"/>
                <w:spacing w:val="0"/>
                <w:sz w:val="21"/>
                <w:highlight w:val="none"/>
                <w:lang w:val="en-US" w:eastAsia="zh-CN"/>
                <w14:textFill>
                  <w14:solidFill>
                    <w14:schemeClr w14:val="tx1"/>
                  </w14:solidFill>
                </w14:textFill>
              </w:rPr>
              <w:t>1.321</w:t>
            </w:r>
            <w:r>
              <w:rPr>
                <w:rFonts w:hint="eastAsia" w:ascii="Times New Roman" w:hAnsi="Times New Roman" w:eastAsia="宋体"/>
                <w:color w:val="000000" w:themeColor="text1"/>
                <w:spacing w:val="0"/>
                <w:sz w:val="21"/>
                <w:highlight w:val="none"/>
                <w:lang w:val="en-US" w:eastAsia="zh-CN"/>
                <w14:textFill>
                  <w14:solidFill>
                    <w14:schemeClr w14:val="tx1"/>
                  </w14:solidFill>
                </w14:textFill>
              </w:rPr>
              <w:t>t/a。</w:t>
            </w:r>
          </w:p>
          <w:p w14:paraId="47C2575A">
            <w:pPr>
              <w:keepNext w:val="0"/>
              <w:pageBreakBefore w:val="0"/>
              <w:kinsoku/>
              <w:wordWrap/>
              <w:overflowPunct/>
              <w:topLinePunct w:val="0"/>
              <w:autoSpaceDE/>
              <w:autoSpaceDN/>
              <w:bidi w:val="0"/>
              <w:adjustRightInd/>
              <w:snapToGrid/>
              <w:spacing w:line="360" w:lineRule="auto"/>
              <w:ind w:firstLine="422" w:firstLineChars="200"/>
              <w:textAlignment w:val="auto"/>
              <w:rPr>
                <w:rFonts w:hint="eastAsia" w:ascii="Times New Roman" w:hAnsi="Times New Roman" w:eastAsia="宋体"/>
                <w:color w:val="000000" w:themeColor="text1"/>
                <w:spacing w:val="-1"/>
                <w:sz w:val="21"/>
                <w:highlight w:val="none"/>
                <w:lang w:val="en-US" w:eastAsia="zh-CN"/>
                <w14:textFill>
                  <w14:solidFill>
                    <w14:schemeClr w14:val="tx1"/>
                  </w14:solidFill>
                </w14:textFill>
              </w:rPr>
            </w:pPr>
            <w:r>
              <w:rPr>
                <w:rFonts w:hint="eastAsia" w:eastAsia="宋体"/>
                <w:b/>
                <w:bCs/>
                <w:color w:val="000000" w:themeColor="text1"/>
                <w:spacing w:val="0"/>
                <w:sz w:val="21"/>
                <w:highlight w:val="none"/>
                <w:lang w:val="en-US" w:eastAsia="zh-CN"/>
                <w14:textFill>
                  <w14:solidFill>
                    <w14:schemeClr w14:val="tx1"/>
                  </w14:solidFill>
                </w14:textFill>
              </w:rPr>
              <w:t>⑦</w:t>
            </w:r>
            <w:r>
              <w:rPr>
                <w:rFonts w:hint="eastAsia" w:eastAsia="宋体"/>
                <w:b/>
                <w:bCs/>
                <w:color w:val="000000" w:themeColor="text1"/>
                <w:spacing w:val="-1"/>
                <w:sz w:val="21"/>
                <w:highlight w:val="none"/>
                <w:lang w:val="en-US" w:eastAsia="zh-CN"/>
                <w14:textFill>
                  <w14:solidFill>
                    <w14:schemeClr w14:val="tx1"/>
                  </w14:solidFill>
                </w14:textFill>
              </w:rPr>
              <w:t>喷淋</w:t>
            </w:r>
            <w:r>
              <w:rPr>
                <w:rFonts w:hint="default" w:ascii="Times New Roman" w:hAnsi="Times New Roman" w:eastAsia="宋体"/>
                <w:b/>
                <w:bCs/>
                <w:color w:val="000000" w:themeColor="text1"/>
                <w:spacing w:val="-1"/>
                <w:sz w:val="21"/>
                <w:highlight w:val="none"/>
                <w:lang w:val="en-US" w:eastAsia="zh-CN"/>
                <w14:textFill>
                  <w14:solidFill>
                    <w14:schemeClr w14:val="tx1"/>
                  </w14:solidFill>
                </w14:textFill>
              </w:rPr>
              <w:t>沉渣</w:t>
            </w:r>
            <w:r>
              <w:rPr>
                <w:rFonts w:hint="eastAsia" w:ascii="Times New Roman" w:hAnsi="Times New Roman" w:eastAsia="宋体"/>
                <w:b/>
                <w:bCs/>
                <w:color w:val="000000" w:themeColor="text1"/>
                <w:spacing w:val="-1"/>
                <w:sz w:val="21"/>
                <w:highlight w:val="none"/>
                <w:lang w:val="en-US" w:eastAsia="zh-CN"/>
                <w14:textFill>
                  <w14:solidFill>
                    <w14:schemeClr w14:val="tx1"/>
                  </w14:solidFill>
                </w14:textFill>
              </w:rPr>
              <w:t>：</w:t>
            </w:r>
            <w:r>
              <w:rPr>
                <w:rFonts w:hint="default" w:ascii="Times New Roman" w:hAnsi="Times New Roman" w:eastAsia="宋体"/>
                <w:color w:val="000000" w:themeColor="text1"/>
                <w:spacing w:val="-1"/>
                <w:sz w:val="21"/>
                <w:highlight w:val="none"/>
                <w:lang w:val="en-US" w:eastAsia="zh-CN"/>
                <w14:textFill>
                  <w14:solidFill>
                    <w14:schemeClr w14:val="tx1"/>
                  </w14:solidFill>
                </w14:textFill>
              </w:rPr>
              <w:t>项目使用水喷淋处理废气，喷淋废水捞渣会产生喷淋沉渣，</w:t>
            </w:r>
            <w:r>
              <w:rPr>
                <w:rFonts w:hint="eastAsia" w:ascii="Times New Roman" w:hAnsi="Times New Roman" w:eastAsia="宋体"/>
                <w:color w:val="000000" w:themeColor="text1"/>
                <w:spacing w:val="-1"/>
                <w:sz w:val="21"/>
                <w:highlight w:val="none"/>
                <w:lang w:val="en-US" w:eastAsia="zh-CN"/>
                <w14:textFill>
                  <w14:solidFill>
                    <w14:schemeClr w14:val="tx1"/>
                  </w14:solidFill>
                </w14:textFill>
              </w:rPr>
              <w:t>主要为水喷淋处理后沉降下来的熔融、压铸</w:t>
            </w:r>
            <w:r>
              <w:rPr>
                <w:rFonts w:hint="eastAsia"/>
                <w:color w:val="000000" w:themeColor="text1"/>
                <w:spacing w:val="-1"/>
                <w:sz w:val="21"/>
                <w:highlight w:val="none"/>
                <w:lang w:val="en-US" w:eastAsia="zh-CN"/>
                <w14:textFill>
                  <w14:solidFill>
                    <w14:schemeClr w14:val="tx1"/>
                  </w14:solidFill>
                </w14:textFill>
              </w:rPr>
              <w:t>、液化石油气燃烧</w:t>
            </w:r>
            <w:r>
              <w:rPr>
                <w:rFonts w:hint="eastAsia" w:ascii="Times New Roman" w:hAnsi="Times New Roman" w:eastAsia="宋体"/>
                <w:color w:val="000000" w:themeColor="text1"/>
                <w:spacing w:val="-1"/>
                <w:sz w:val="21"/>
                <w:highlight w:val="none"/>
                <w:lang w:val="en-US" w:eastAsia="zh-CN"/>
                <w14:textFill>
                  <w14:solidFill>
                    <w14:schemeClr w14:val="tx1"/>
                  </w14:solidFill>
                </w14:textFill>
              </w:rPr>
              <w:t>废气，以颗粒物为表征，</w:t>
            </w:r>
            <w:r>
              <w:rPr>
                <w:rFonts w:hint="default" w:ascii="Times New Roman" w:hAnsi="Times New Roman" w:eastAsia="宋体"/>
                <w:color w:val="000000" w:themeColor="text1"/>
                <w:spacing w:val="-1"/>
                <w:sz w:val="21"/>
                <w:highlight w:val="none"/>
                <w:lang w:val="en-US" w:eastAsia="zh-CN"/>
                <w14:textFill>
                  <w14:solidFill>
                    <w14:schemeClr w14:val="tx1"/>
                  </w14:solidFill>
                </w14:textFill>
              </w:rPr>
              <w:t>项目</w:t>
            </w:r>
            <w:r>
              <w:rPr>
                <w:rFonts w:hint="eastAsia"/>
                <w:color w:val="000000" w:themeColor="text1"/>
                <w:spacing w:val="-1"/>
                <w:sz w:val="21"/>
                <w:highlight w:val="none"/>
                <w:lang w:val="en-US" w:eastAsia="zh-CN"/>
                <w14:textFill>
                  <w14:solidFill>
                    <w14:schemeClr w14:val="tx1"/>
                  </w14:solidFill>
                </w14:textFill>
              </w:rPr>
              <w:t>废气处理设施</w:t>
            </w:r>
            <w:r>
              <w:rPr>
                <w:rFonts w:hint="default" w:ascii="Times New Roman" w:hAnsi="Times New Roman" w:eastAsia="宋体"/>
                <w:color w:val="000000" w:themeColor="text1"/>
                <w:spacing w:val="-1"/>
                <w:sz w:val="21"/>
                <w:highlight w:val="none"/>
                <w:lang w:val="en-US" w:eastAsia="zh-CN"/>
                <w14:textFill>
                  <w14:solidFill>
                    <w14:schemeClr w14:val="tx1"/>
                  </w14:solidFill>
                </w14:textFill>
              </w:rPr>
              <w:t>颗粒物</w:t>
            </w:r>
            <w:r>
              <w:rPr>
                <w:rFonts w:hint="eastAsia"/>
                <w:color w:val="000000" w:themeColor="text1"/>
                <w:spacing w:val="-1"/>
                <w:sz w:val="21"/>
                <w:highlight w:val="none"/>
                <w:lang w:val="en-US" w:eastAsia="zh-CN"/>
                <w14:textFill>
                  <w14:solidFill>
                    <w14:schemeClr w14:val="tx1"/>
                  </w14:solidFill>
                </w14:textFill>
              </w:rPr>
              <w:t>收集量</w:t>
            </w:r>
            <w:r>
              <w:rPr>
                <w:rFonts w:hint="default" w:ascii="Times New Roman" w:hAnsi="Times New Roman" w:eastAsia="宋体"/>
                <w:color w:val="000000" w:themeColor="text1"/>
                <w:spacing w:val="-1"/>
                <w:sz w:val="21"/>
                <w:highlight w:val="none"/>
                <w:lang w:val="en-US" w:eastAsia="zh-CN"/>
                <w14:textFill>
                  <w14:solidFill>
                    <w14:schemeClr w14:val="tx1"/>
                  </w14:solidFill>
                </w14:textFill>
              </w:rPr>
              <w:t>为</w:t>
            </w:r>
            <w:r>
              <w:rPr>
                <w:rFonts w:hint="eastAsia"/>
                <w:color w:val="000000" w:themeColor="text1"/>
                <w:spacing w:val="-1"/>
                <w:sz w:val="21"/>
                <w:highlight w:val="none"/>
                <w:lang w:val="en-US" w:eastAsia="zh-CN"/>
                <w14:textFill>
                  <w14:solidFill>
                    <w14:schemeClr w14:val="tx1"/>
                  </w14:solidFill>
                </w14:textFill>
              </w:rPr>
              <w:t>0.0951t</w:t>
            </w:r>
            <w:r>
              <w:rPr>
                <w:rFonts w:hint="default" w:ascii="Times New Roman" w:hAnsi="Times New Roman" w:eastAsia="宋体"/>
                <w:color w:val="000000" w:themeColor="text1"/>
                <w:spacing w:val="-1"/>
                <w:sz w:val="21"/>
                <w:highlight w:val="none"/>
                <w:lang w:val="en-US" w:eastAsia="zh-CN"/>
                <w14:textFill>
                  <w14:solidFill>
                    <w14:schemeClr w14:val="tx1"/>
                  </w14:solidFill>
                </w14:textFill>
              </w:rPr>
              <w:t>/a，处理效率为</w:t>
            </w:r>
            <w:r>
              <w:rPr>
                <w:rFonts w:hint="eastAsia"/>
                <w:color w:val="000000" w:themeColor="text1"/>
                <w:spacing w:val="-1"/>
                <w:sz w:val="21"/>
                <w:highlight w:val="none"/>
                <w:lang w:val="en-US" w:eastAsia="zh-CN"/>
                <w14:textFill>
                  <w14:solidFill>
                    <w14:schemeClr w14:val="tx1"/>
                  </w14:solidFill>
                </w14:textFill>
              </w:rPr>
              <w:t>80</w:t>
            </w:r>
            <w:r>
              <w:rPr>
                <w:rFonts w:hint="default" w:ascii="Times New Roman" w:hAnsi="Times New Roman" w:eastAsia="宋体"/>
                <w:color w:val="000000" w:themeColor="text1"/>
                <w:spacing w:val="-1"/>
                <w:sz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pacing w:val="0"/>
                <w:kern w:val="0"/>
                <w:sz w:val="21"/>
                <w:szCs w:val="21"/>
                <w:highlight w:val="none"/>
                <w:lang w:val="en-US" w:eastAsia="zh-CN" w:bidi="ar"/>
                <w14:textFill>
                  <w14:solidFill>
                    <w14:schemeClr w14:val="tx1"/>
                  </w14:solidFill>
                </w14:textFill>
              </w:rPr>
              <w:t>，则废气</w:t>
            </w:r>
            <w:r>
              <w:rPr>
                <w:rFonts w:hint="default" w:ascii="Times New Roman" w:hAnsi="Times New Roman" w:eastAsia="宋体"/>
                <w:color w:val="000000" w:themeColor="text1"/>
                <w:spacing w:val="-1"/>
                <w:sz w:val="21"/>
                <w:highlight w:val="none"/>
                <w:lang w:val="en-US" w:eastAsia="zh-CN"/>
                <w14:textFill>
                  <w14:solidFill>
                    <w14:schemeClr w14:val="tx1"/>
                  </w14:solidFill>
                </w14:textFill>
              </w:rPr>
              <w:t>沉渣</w:t>
            </w:r>
            <w:r>
              <w:rPr>
                <w:rFonts w:hint="eastAsia" w:ascii="Times New Roman" w:hAnsi="Times New Roman" w:eastAsia="宋体"/>
                <w:color w:val="000000" w:themeColor="text1"/>
                <w:spacing w:val="-1"/>
                <w:sz w:val="21"/>
                <w:highlight w:val="none"/>
                <w:lang w:val="en-US" w:eastAsia="zh-CN"/>
                <w14:textFill>
                  <w14:solidFill>
                    <w14:schemeClr w14:val="tx1"/>
                  </w14:solidFill>
                </w14:textFill>
              </w:rPr>
              <w:t>产生量约为</w:t>
            </w:r>
            <w:r>
              <w:rPr>
                <w:rFonts w:hint="eastAsia"/>
                <w:color w:val="000000" w:themeColor="text1"/>
                <w:spacing w:val="-1"/>
                <w:sz w:val="21"/>
                <w:highlight w:val="none"/>
                <w:lang w:val="en-US" w:eastAsia="zh-CN"/>
                <w14:textFill>
                  <w14:solidFill>
                    <w14:schemeClr w14:val="tx1"/>
                  </w14:solidFill>
                </w14:textFill>
              </w:rPr>
              <w:t>0.0761</w:t>
            </w:r>
            <w:r>
              <w:rPr>
                <w:rFonts w:hint="eastAsia" w:ascii="Times New Roman" w:hAnsi="Times New Roman" w:eastAsia="宋体"/>
                <w:color w:val="000000" w:themeColor="text1"/>
                <w:spacing w:val="-1"/>
                <w:sz w:val="21"/>
                <w:highlight w:val="none"/>
                <w:lang w:val="en-US" w:eastAsia="zh-CN"/>
                <w14:textFill>
                  <w14:solidFill>
                    <w14:schemeClr w14:val="tx1"/>
                  </w14:solidFill>
                </w14:textFill>
              </w:rPr>
              <w:t>t/a</w:t>
            </w:r>
            <w:r>
              <w:rPr>
                <w:rFonts w:hint="eastAsia" w:eastAsia="宋体"/>
                <w:color w:val="000000" w:themeColor="text1"/>
                <w:spacing w:val="-1"/>
                <w:sz w:val="21"/>
                <w:highlight w:val="none"/>
                <w:lang w:val="en-US" w:eastAsia="zh-CN"/>
                <w14:textFill>
                  <w14:solidFill>
                    <w14:schemeClr w14:val="tx1"/>
                  </w14:solidFill>
                </w14:textFill>
              </w:rPr>
              <w:t>。</w:t>
            </w:r>
          </w:p>
          <w:p w14:paraId="1C4D3817">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18" w:firstLineChars="200"/>
              <w:jc w:val="both"/>
              <w:textAlignment w:val="auto"/>
              <w:rPr>
                <w:rFonts w:hint="eastAsia" w:eastAsia="宋体"/>
                <w:b w:val="0"/>
                <w:bCs w:val="0"/>
                <w:color w:val="000000" w:themeColor="text1"/>
                <w:spacing w:val="-1"/>
                <w:sz w:val="21"/>
                <w:szCs w:val="21"/>
                <w:highlight w:val="none"/>
                <w:lang w:val="en-US" w:eastAsia="zh-CN"/>
                <w14:textFill>
                  <w14:solidFill>
                    <w14:schemeClr w14:val="tx1"/>
                  </w14:solidFill>
                </w14:textFill>
              </w:rPr>
            </w:pPr>
            <w:r>
              <w:rPr>
                <w:rFonts w:hint="eastAsia" w:eastAsia="宋体"/>
                <w:b/>
                <w:bCs/>
                <w:color w:val="000000" w:themeColor="text1"/>
                <w:spacing w:val="-1"/>
                <w:sz w:val="21"/>
                <w:highlight w:val="none"/>
                <w:lang w:val="en-US" w:eastAsia="zh-CN"/>
                <w14:textFill>
                  <w14:solidFill>
                    <w14:schemeClr w14:val="tx1"/>
                  </w14:solidFill>
                </w14:textFill>
              </w:rPr>
              <w:t>⑧含</w:t>
            </w:r>
            <w:r>
              <w:rPr>
                <w:rFonts w:hint="eastAsia"/>
                <w:b/>
                <w:bCs/>
                <w:color w:val="000000" w:themeColor="text1"/>
                <w:spacing w:val="-1"/>
                <w:sz w:val="21"/>
                <w:highlight w:val="none"/>
                <w:lang w:val="en-US" w:eastAsia="zh-CN"/>
                <w14:textFill>
                  <w14:solidFill>
                    <w14:schemeClr w14:val="tx1"/>
                  </w14:solidFill>
                </w14:textFill>
              </w:rPr>
              <w:t>切削液</w:t>
            </w:r>
            <w:r>
              <w:rPr>
                <w:rFonts w:hint="eastAsia" w:eastAsia="宋体"/>
                <w:b/>
                <w:bCs/>
                <w:color w:val="000000" w:themeColor="text1"/>
                <w:spacing w:val="-1"/>
                <w:sz w:val="21"/>
                <w:highlight w:val="none"/>
                <w:lang w:val="en-US" w:eastAsia="zh-CN"/>
                <w14:textFill>
                  <w14:solidFill>
                    <w14:schemeClr w14:val="tx1"/>
                  </w14:solidFill>
                </w14:textFill>
              </w:rPr>
              <w:t>金属屑</w:t>
            </w:r>
            <w:r>
              <w:rPr>
                <w:rFonts w:hint="eastAsia" w:eastAsia="宋体"/>
                <w:color w:val="000000" w:themeColor="text1"/>
                <w:spacing w:val="-1"/>
                <w:sz w:val="21"/>
                <w:highlight w:val="none"/>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项目</w:t>
            </w:r>
            <w:r>
              <w:rPr>
                <w:rFonts w:hint="eastAsia"/>
                <w:b w:val="0"/>
                <w:bCs w:val="0"/>
                <w:color w:val="000000" w:themeColor="text1"/>
                <w:spacing w:val="-1"/>
                <w:kern w:val="2"/>
                <w:sz w:val="21"/>
                <w:szCs w:val="24"/>
                <w:highlight w:val="none"/>
                <w:lang w:val="en-US" w:eastAsia="zh-CN" w:bidi="ar-SA"/>
                <w14:textFill>
                  <w14:solidFill>
                    <w14:schemeClr w14:val="tx1"/>
                  </w14:solidFill>
                </w14:textFill>
              </w:rPr>
              <w:t>钻孔攻牙工序</w:t>
            </w:r>
            <w:r>
              <w:rPr>
                <w:rFonts w:hint="eastAsia" w:ascii="Times New Roman" w:hAnsi="Times New Roman" w:eastAsia="宋体"/>
                <w:b w:val="0"/>
                <w:bCs w:val="0"/>
                <w:color w:val="000000" w:themeColor="text1"/>
                <w:spacing w:val="-1"/>
                <w:sz w:val="21"/>
                <w:szCs w:val="21"/>
                <w:highlight w:val="none"/>
                <w:lang w:val="en-US" w:eastAsia="zh-CN"/>
                <w14:textFill>
                  <w14:solidFill>
                    <w14:schemeClr w14:val="tx1"/>
                  </w14:solidFill>
                </w14:textFill>
              </w:rPr>
              <w:t>使用</w:t>
            </w:r>
            <w:r>
              <w:rPr>
                <w:rFonts w:hint="eastAsia"/>
                <w:b w:val="0"/>
                <w:bCs w:val="0"/>
                <w:color w:val="000000" w:themeColor="text1"/>
                <w:spacing w:val="-1"/>
                <w:sz w:val="21"/>
                <w:szCs w:val="21"/>
                <w:highlight w:val="none"/>
                <w:lang w:val="en-US" w:eastAsia="zh-CN"/>
                <w14:textFill>
                  <w14:solidFill>
                    <w14:schemeClr w14:val="tx1"/>
                  </w14:solidFill>
                </w14:textFill>
              </w:rPr>
              <w:t>切削液</w:t>
            </w:r>
            <w:r>
              <w:rPr>
                <w:rFonts w:hint="eastAsia" w:ascii="Times New Roman" w:hAnsi="Times New Roman" w:eastAsia="宋体"/>
                <w:b w:val="0"/>
                <w:bCs w:val="0"/>
                <w:color w:val="000000" w:themeColor="text1"/>
                <w:spacing w:val="-1"/>
                <w:sz w:val="21"/>
                <w:szCs w:val="21"/>
                <w:highlight w:val="none"/>
                <w:lang w:val="en-US" w:eastAsia="zh-CN"/>
                <w14:textFill>
                  <w14:solidFill>
                    <w14:schemeClr w14:val="tx1"/>
                  </w14:solidFill>
                </w14:textFill>
              </w:rPr>
              <w:t>，产生含</w:t>
            </w:r>
            <w:r>
              <w:rPr>
                <w:rFonts w:hint="eastAsia"/>
                <w:b w:val="0"/>
                <w:bCs w:val="0"/>
                <w:color w:val="000000" w:themeColor="text1"/>
                <w:spacing w:val="-1"/>
                <w:sz w:val="21"/>
                <w:szCs w:val="21"/>
                <w:highlight w:val="none"/>
                <w:lang w:val="en-US" w:eastAsia="zh-CN"/>
                <w14:textFill>
                  <w14:solidFill>
                    <w14:schemeClr w14:val="tx1"/>
                  </w14:solidFill>
                </w14:textFill>
              </w:rPr>
              <w:t>切削液</w:t>
            </w:r>
            <w:r>
              <w:rPr>
                <w:rFonts w:hint="eastAsia" w:ascii="Times New Roman" w:hAnsi="Times New Roman" w:eastAsia="宋体"/>
                <w:b w:val="0"/>
                <w:bCs w:val="0"/>
                <w:color w:val="000000" w:themeColor="text1"/>
                <w:spacing w:val="-1"/>
                <w:sz w:val="21"/>
                <w:szCs w:val="21"/>
                <w:highlight w:val="none"/>
                <w:lang w:val="en-US" w:eastAsia="zh-CN"/>
                <w14:textFill>
                  <w14:solidFill>
                    <w14:schemeClr w14:val="tx1"/>
                  </w14:solidFill>
                </w14:textFill>
              </w:rPr>
              <w:t>金属屑，</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产生的</w:t>
            </w:r>
            <w:r>
              <w:rPr>
                <w:rFonts w:hint="eastAsia" w:ascii="Times New Roman" w:hAnsi="Times New Roman" w:eastAsia="宋体"/>
                <w:b w:val="0"/>
                <w:bCs w:val="0"/>
                <w:color w:val="000000" w:themeColor="text1"/>
                <w:spacing w:val="-1"/>
                <w:sz w:val="21"/>
                <w:szCs w:val="21"/>
                <w:highlight w:val="none"/>
                <w:lang w:val="en-US" w:eastAsia="zh-CN"/>
                <w14:textFill>
                  <w14:solidFill>
                    <w14:schemeClr w14:val="tx1"/>
                  </w14:solidFill>
                </w14:textFill>
              </w:rPr>
              <w:t>含切削液金属屑</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约占原料</w:t>
            </w:r>
            <w:r>
              <w:rPr>
                <w:rFonts w:hint="eastAsia" w:cs="Times New Roman"/>
                <w:color w:val="000000" w:themeColor="text1"/>
                <w:kern w:val="0"/>
                <w:sz w:val="21"/>
                <w:szCs w:val="21"/>
                <w:highlight w:val="none"/>
                <w:lang w:val="en-US" w:eastAsia="zh-CN" w:bidi="ar-SA"/>
                <w14:textFill>
                  <w14:solidFill>
                    <w14:schemeClr w14:val="tx1"/>
                  </w14:solidFill>
                </w14:textFill>
              </w:rPr>
              <w:t>（锌锭、铝锭年用量264.2t）</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的0.</w:t>
            </w:r>
            <w:r>
              <w:rPr>
                <w:rFonts w:hint="eastAsia" w:cs="Times New Roman"/>
                <w:color w:val="000000" w:themeColor="text1"/>
                <w:kern w:val="0"/>
                <w:sz w:val="21"/>
                <w:szCs w:val="21"/>
                <w:highlight w:val="none"/>
                <w:lang w:val="en-US" w:eastAsia="zh-CN" w:bidi="ar-SA"/>
                <w14:textFill>
                  <w14:solidFill>
                    <w14:schemeClr w14:val="tx1"/>
                  </w14:solidFill>
                </w14:textFill>
              </w:rPr>
              <w:t>15</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r>
              <w:rPr>
                <w:rFonts w:hint="eastAsia" w:eastAsia="宋体"/>
                <w:b w:val="0"/>
                <w:bCs w:val="0"/>
                <w:color w:val="000000" w:themeColor="text1"/>
                <w:spacing w:val="-1"/>
                <w:sz w:val="21"/>
                <w:szCs w:val="21"/>
                <w:highlight w:val="none"/>
                <w:lang w:val="en-US" w:eastAsia="zh-CN"/>
                <w14:textFill>
                  <w14:solidFill>
                    <w14:schemeClr w14:val="tx1"/>
                  </w14:solidFill>
                </w14:textFill>
              </w:rPr>
              <w:t>，则含</w:t>
            </w:r>
            <w:r>
              <w:rPr>
                <w:rFonts w:hint="eastAsia"/>
                <w:b w:val="0"/>
                <w:bCs w:val="0"/>
                <w:color w:val="000000" w:themeColor="text1"/>
                <w:spacing w:val="-1"/>
                <w:sz w:val="21"/>
                <w:szCs w:val="21"/>
                <w:highlight w:val="none"/>
                <w:lang w:val="en-US" w:eastAsia="zh-CN"/>
                <w14:textFill>
                  <w14:solidFill>
                    <w14:schemeClr w14:val="tx1"/>
                  </w14:solidFill>
                </w14:textFill>
              </w:rPr>
              <w:t>切削液</w:t>
            </w:r>
            <w:r>
              <w:rPr>
                <w:rFonts w:hint="eastAsia" w:eastAsia="宋体"/>
                <w:b w:val="0"/>
                <w:bCs w:val="0"/>
                <w:color w:val="000000" w:themeColor="text1"/>
                <w:spacing w:val="-1"/>
                <w:sz w:val="21"/>
                <w:szCs w:val="21"/>
                <w:highlight w:val="none"/>
                <w:lang w:val="en-US" w:eastAsia="zh-CN"/>
                <w14:textFill>
                  <w14:solidFill>
                    <w14:schemeClr w14:val="tx1"/>
                  </w14:solidFill>
                </w14:textFill>
              </w:rPr>
              <w:t>金属屑年用量为</w:t>
            </w:r>
            <w:r>
              <w:rPr>
                <w:rFonts w:hint="eastAsia"/>
                <w:b w:val="0"/>
                <w:bCs w:val="0"/>
                <w:color w:val="000000" w:themeColor="text1"/>
                <w:spacing w:val="-1"/>
                <w:sz w:val="21"/>
                <w:szCs w:val="21"/>
                <w:highlight w:val="none"/>
                <w:lang w:val="en-US" w:eastAsia="zh-CN"/>
                <w14:textFill>
                  <w14:solidFill>
                    <w14:schemeClr w14:val="tx1"/>
                  </w14:solidFill>
                </w14:textFill>
              </w:rPr>
              <w:t>0.3963</w:t>
            </w:r>
            <w:r>
              <w:rPr>
                <w:rFonts w:hint="eastAsia" w:eastAsia="宋体"/>
                <w:b w:val="0"/>
                <w:bCs w:val="0"/>
                <w:color w:val="000000" w:themeColor="text1"/>
                <w:spacing w:val="-1"/>
                <w:sz w:val="21"/>
                <w:szCs w:val="21"/>
                <w:highlight w:val="none"/>
                <w:lang w:val="en-US" w:eastAsia="zh-CN"/>
                <w14:textFill>
                  <w14:solidFill>
                    <w14:schemeClr w14:val="tx1"/>
                  </w14:solidFill>
                </w14:textFill>
              </w:rPr>
              <w:t>t。</w:t>
            </w:r>
          </w:p>
          <w:p w14:paraId="1A8F9582">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18" w:firstLineChars="200"/>
              <w:jc w:val="both"/>
              <w:textAlignment w:val="auto"/>
              <w:rPr>
                <w:rFonts w:hint="eastAsia" w:eastAsia="宋体"/>
                <w:b w:val="0"/>
                <w:bCs w:val="0"/>
                <w:color w:val="000000" w:themeColor="text1"/>
                <w:spacing w:val="-1"/>
                <w:sz w:val="21"/>
                <w:szCs w:val="21"/>
                <w:highlight w:val="none"/>
                <w:lang w:val="en-US" w:eastAsia="zh-CN"/>
                <w14:textFill>
                  <w14:solidFill>
                    <w14:schemeClr w14:val="tx1"/>
                  </w14:solidFill>
                </w14:textFill>
              </w:rPr>
            </w:pPr>
            <w:r>
              <w:rPr>
                <w:rFonts w:hint="eastAsia" w:eastAsia="宋体"/>
                <w:b/>
                <w:bCs/>
                <w:color w:val="000000" w:themeColor="text1"/>
                <w:spacing w:val="-1"/>
                <w:sz w:val="21"/>
                <w:highlight w:val="none"/>
                <w:lang w:val="en-US" w:eastAsia="zh-CN"/>
                <w14:textFill>
                  <w14:solidFill>
                    <w14:schemeClr w14:val="tx1"/>
                  </w14:solidFill>
                </w14:textFill>
              </w:rPr>
              <w:t>⑧含</w:t>
            </w:r>
            <w:r>
              <w:rPr>
                <w:rFonts w:hint="eastAsia"/>
                <w:b/>
                <w:bCs/>
                <w:color w:val="000000" w:themeColor="text1"/>
                <w:spacing w:val="-1"/>
                <w:sz w:val="21"/>
                <w:highlight w:val="none"/>
                <w:lang w:val="en-US" w:eastAsia="zh-CN"/>
                <w14:textFill>
                  <w14:solidFill>
                    <w14:schemeClr w14:val="tx1"/>
                  </w14:solidFill>
                </w14:textFill>
              </w:rPr>
              <w:t>油</w:t>
            </w:r>
            <w:r>
              <w:rPr>
                <w:rFonts w:hint="eastAsia" w:eastAsia="宋体"/>
                <w:b/>
                <w:bCs/>
                <w:color w:val="000000" w:themeColor="text1"/>
                <w:spacing w:val="-1"/>
                <w:sz w:val="21"/>
                <w:highlight w:val="none"/>
                <w:lang w:val="en-US" w:eastAsia="zh-CN"/>
                <w14:textFill>
                  <w14:solidFill>
                    <w14:schemeClr w14:val="tx1"/>
                  </w14:solidFill>
                </w14:textFill>
              </w:rPr>
              <w:t>金属屑</w:t>
            </w:r>
            <w:r>
              <w:rPr>
                <w:rFonts w:hint="eastAsia" w:eastAsia="宋体"/>
                <w:color w:val="000000" w:themeColor="text1"/>
                <w:spacing w:val="-1"/>
                <w:sz w:val="21"/>
                <w:highlight w:val="none"/>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项目</w:t>
            </w:r>
            <w:r>
              <w:rPr>
                <w:rFonts w:hint="eastAsia"/>
                <w:b w:val="0"/>
                <w:bCs w:val="0"/>
                <w:color w:val="000000" w:themeColor="text1"/>
                <w:spacing w:val="-1"/>
                <w:kern w:val="2"/>
                <w:sz w:val="21"/>
                <w:szCs w:val="24"/>
                <w:highlight w:val="none"/>
                <w:lang w:val="en-US" w:eastAsia="zh-CN" w:bidi="ar-SA"/>
                <w14:textFill>
                  <w14:solidFill>
                    <w14:schemeClr w14:val="tx1"/>
                  </w14:solidFill>
                </w14:textFill>
              </w:rPr>
              <w:t>机加工工序</w:t>
            </w:r>
            <w:r>
              <w:rPr>
                <w:rFonts w:hint="eastAsia" w:ascii="Times New Roman" w:hAnsi="Times New Roman" w:eastAsia="宋体"/>
                <w:b w:val="0"/>
                <w:bCs w:val="0"/>
                <w:color w:val="000000" w:themeColor="text1"/>
                <w:spacing w:val="-1"/>
                <w:sz w:val="21"/>
                <w:szCs w:val="21"/>
                <w:highlight w:val="none"/>
                <w:lang w:val="en-US" w:eastAsia="zh-CN"/>
                <w14:textFill>
                  <w14:solidFill>
                    <w14:schemeClr w14:val="tx1"/>
                  </w14:solidFill>
                </w14:textFill>
              </w:rPr>
              <w:t>使用</w:t>
            </w:r>
            <w:r>
              <w:rPr>
                <w:rFonts w:hint="eastAsia"/>
                <w:b w:val="0"/>
                <w:bCs w:val="0"/>
                <w:color w:val="000000" w:themeColor="text1"/>
                <w:spacing w:val="-1"/>
                <w:sz w:val="21"/>
                <w:szCs w:val="21"/>
                <w:highlight w:val="none"/>
                <w:lang w:val="en-US" w:eastAsia="zh-CN"/>
                <w14:textFill>
                  <w14:solidFill>
                    <w14:schemeClr w14:val="tx1"/>
                  </w14:solidFill>
                </w14:textFill>
              </w:rPr>
              <w:t>火花油</w:t>
            </w:r>
            <w:r>
              <w:rPr>
                <w:rFonts w:hint="eastAsia" w:ascii="Times New Roman" w:hAnsi="Times New Roman" w:eastAsia="宋体"/>
                <w:b w:val="0"/>
                <w:bCs w:val="0"/>
                <w:color w:val="000000" w:themeColor="text1"/>
                <w:spacing w:val="-1"/>
                <w:sz w:val="21"/>
                <w:szCs w:val="21"/>
                <w:highlight w:val="none"/>
                <w:lang w:val="en-US" w:eastAsia="zh-CN"/>
                <w14:textFill>
                  <w14:solidFill>
                    <w14:schemeClr w14:val="tx1"/>
                  </w14:solidFill>
                </w14:textFill>
              </w:rPr>
              <w:t>，产生含</w:t>
            </w:r>
            <w:r>
              <w:rPr>
                <w:rFonts w:hint="eastAsia"/>
                <w:b w:val="0"/>
                <w:bCs w:val="0"/>
                <w:color w:val="000000" w:themeColor="text1"/>
                <w:spacing w:val="-1"/>
                <w:sz w:val="21"/>
                <w:szCs w:val="21"/>
                <w:highlight w:val="none"/>
                <w:lang w:val="en-US" w:eastAsia="zh-CN"/>
                <w14:textFill>
                  <w14:solidFill>
                    <w14:schemeClr w14:val="tx1"/>
                  </w14:solidFill>
                </w14:textFill>
              </w:rPr>
              <w:t>油</w:t>
            </w:r>
            <w:r>
              <w:rPr>
                <w:rFonts w:hint="eastAsia" w:ascii="Times New Roman" w:hAnsi="Times New Roman" w:eastAsia="宋体"/>
                <w:b w:val="0"/>
                <w:bCs w:val="0"/>
                <w:color w:val="000000" w:themeColor="text1"/>
                <w:spacing w:val="-1"/>
                <w:sz w:val="21"/>
                <w:szCs w:val="21"/>
                <w:highlight w:val="none"/>
                <w:lang w:val="en-US" w:eastAsia="zh-CN"/>
                <w14:textFill>
                  <w14:solidFill>
                    <w14:schemeClr w14:val="tx1"/>
                  </w14:solidFill>
                </w14:textFill>
              </w:rPr>
              <w:t>金属屑，</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产生的</w:t>
            </w:r>
            <w:r>
              <w:rPr>
                <w:rFonts w:hint="eastAsia" w:ascii="Times New Roman" w:hAnsi="Times New Roman" w:eastAsia="宋体"/>
                <w:b w:val="0"/>
                <w:bCs w:val="0"/>
                <w:color w:val="000000" w:themeColor="text1"/>
                <w:spacing w:val="-1"/>
                <w:sz w:val="21"/>
                <w:szCs w:val="21"/>
                <w:highlight w:val="none"/>
                <w:lang w:val="en-US" w:eastAsia="zh-CN"/>
                <w14:textFill>
                  <w14:solidFill>
                    <w14:schemeClr w14:val="tx1"/>
                  </w14:solidFill>
                </w14:textFill>
              </w:rPr>
              <w:t>含油金属屑</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约占原料</w:t>
            </w:r>
            <w:r>
              <w:rPr>
                <w:rFonts w:hint="eastAsia" w:cs="Times New Roman"/>
                <w:color w:val="000000" w:themeColor="text1"/>
                <w:kern w:val="0"/>
                <w:sz w:val="21"/>
                <w:szCs w:val="21"/>
                <w:highlight w:val="none"/>
                <w:lang w:val="en-US" w:eastAsia="zh-CN" w:bidi="ar-SA"/>
                <w14:textFill>
                  <w14:solidFill>
                    <w14:schemeClr w14:val="tx1"/>
                  </w14:solidFill>
                </w14:textFill>
              </w:rPr>
              <w:t>（模具年用量10.05t）</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的</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0.5</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r>
              <w:rPr>
                <w:rFonts w:hint="eastAsia" w:eastAsia="宋体"/>
                <w:b w:val="0"/>
                <w:bCs w:val="0"/>
                <w:color w:val="000000" w:themeColor="text1"/>
                <w:spacing w:val="-1"/>
                <w:sz w:val="21"/>
                <w:szCs w:val="21"/>
                <w:highlight w:val="none"/>
                <w:lang w:val="en-US" w:eastAsia="zh-CN"/>
                <w14:textFill>
                  <w14:solidFill>
                    <w14:schemeClr w14:val="tx1"/>
                  </w14:solidFill>
                </w14:textFill>
              </w:rPr>
              <w:t>，则含</w:t>
            </w:r>
            <w:r>
              <w:rPr>
                <w:rFonts w:hint="eastAsia"/>
                <w:b w:val="0"/>
                <w:bCs w:val="0"/>
                <w:color w:val="000000" w:themeColor="text1"/>
                <w:spacing w:val="-1"/>
                <w:sz w:val="21"/>
                <w:szCs w:val="21"/>
                <w:highlight w:val="none"/>
                <w:lang w:val="en-US" w:eastAsia="zh-CN"/>
                <w14:textFill>
                  <w14:solidFill>
                    <w14:schemeClr w14:val="tx1"/>
                  </w14:solidFill>
                </w14:textFill>
              </w:rPr>
              <w:t>油</w:t>
            </w:r>
            <w:r>
              <w:rPr>
                <w:rFonts w:hint="eastAsia" w:eastAsia="宋体"/>
                <w:b w:val="0"/>
                <w:bCs w:val="0"/>
                <w:color w:val="000000" w:themeColor="text1"/>
                <w:spacing w:val="-1"/>
                <w:sz w:val="21"/>
                <w:szCs w:val="21"/>
                <w:highlight w:val="none"/>
                <w:lang w:val="en-US" w:eastAsia="zh-CN"/>
                <w14:textFill>
                  <w14:solidFill>
                    <w14:schemeClr w14:val="tx1"/>
                  </w14:solidFill>
                </w14:textFill>
              </w:rPr>
              <w:t>金属屑年产生量为</w:t>
            </w:r>
            <w:r>
              <w:rPr>
                <w:rFonts w:hint="eastAsia"/>
                <w:b w:val="0"/>
                <w:bCs w:val="0"/>
                <w:color w:val="000000" w:themeColor="text1"/>
                <w:spacing w:val="-1"/>
                <w:sz w:val="21"/>
                <w:szCs w:val="21"/>
                <w:highlight w:val="none"/>
                <w:lang w:val="en-US" w:eastAsia="zh-CN"/>
                <w14:textFill>
                  <w14:solidFill>
                    <w14:schemeClr w14:val="tx1"/>
                  </w14:solidFill>
                </w14:textFill>
              </w:rPr>
              <w:t>0.05</w:t>
            </w:r>
            <w:r>
              <w:rPr>
                <w:rFonts w:hint="eastAsia" w:eastAsia="宋体"/>
                <w:b w:val="0"/>
                <w:bCs w:val="0"/>
                <w:color w:val="000000" w:themeColor="text1"/>
                <w:spacing w:val="-1"/>
                <w:sz w:val="21"/>
                <w:szCs w:val="21"/>
                <w:highlight w:val="none"/>
                <w:lang w:val="en-US" w:eastAsia="zh-CN"/>
                <w14:textFill>
                  <w14:solidFill>
                    <w14:schemeClr w14:val="tx1"/>
                  </w14:solidFill>
                </w14:textFill>
              </w:rPr>
              <w:t>t。</w:t>
            </w:r>
          </w:p>
          <w:p w14:paraId="060924D1">
            <w:pPr>
              <w:keepNext w:val="0"/>
              <w:keepLines w:val="0"/>
              <w:pageBreakBefore w:val="0"/>
              <w:widowControl/>
              <w:shd w:val="clear"/>
              <w:kinsoku/>
              <w:wordWrap/>
              <w:overflowPunct/>
              <w:topLinePunct w:val="0"/>
              <w:autoSpaceDE/>
              <w:autoSpaceDN/>
              <w:bidi w:val="0"/>
              <w:adjustRightInd/>
              <w:snapToGrid w:val="0"/>
              <w:spacing w:before="0" w:beforeLines="0" w:after="0" w:line="360" w:lineRule="auto"/>
              <w:ind w:right="0" w:firstLine="420" w:firstLineChars="200"/>
              <w:jc w:val="both"/>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危险废物交由具有相关危险废物经营许可证的单位处理。</w:t>
            </w:r>
          </w:p>
          <w:p w14:paraId="46DF7C0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Chars="0"/>
              <w:jc w:val="center"/>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表</w:t>
            </w:r>
            <w:r>
              <w:rPr>
                <w:rFonts w:hint="eastAsia" w:cs="Times New Roman"/>
                <w:b/>
                <w:bCs w:val="0"/>
                <w:color w:val="000000" w:themeColor="text1"/>
                <w:spacing w:val="-10"/>
                <w:sz w:val="24"/>
                <w:szCs w:val="24"/>
                <w:highlight w:val="none"/>
                <w:lang w:val="en-US" w:eastAsia="zh-CN"/>
                <w14:textFill>
                  <w14:solidFill>
                    <w14:schemeClr w14:val="tx1"/>
                  </w14:solidFill>
                </w14:textFill>
              </w:rPr>
              <w:t>43</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危险废物汇总表</w:t>
            </w:r>
          </w:p>
          <w:tbl>
            <w:tblPr>
              <w:tblStyle w:val="34"/>
              <w:tblW w:w="47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8"/>
              <w:gridCol w:w="967"/>
              <w:gridCol w:w="1196"/>
              <w:gridCol w:w="794"/>
              <w:gridCol w:w="536"/>
              <w:gridCol w:w="636"/>
              <w:gridCol w:w="636"/>
              <w:gridCol w:w="636"/>
              <w:gridCol w:w="578"/>
              <w:gridCol w:w="427"/>
              <w:gridCol w:w="640"/>
            </w:tblGrid>
            <w:tr w14:paraId="3253D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05" w:type="pct"/>
                  <w:noWrap w:val="0"/>
                  <w:vAlign w:val="center"/>
                </w:tcPr>
                <w:p w14:paraId="4C9246D3">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危险废物名称</w:t>
                  </w:r>
                </w:p>
              </w:tc>
              <w:tc>
                <w:tcPr>
                  <w:tcW w:w="604" w:type="pct"/>
                  <w:noWrap w:val="0"/>
                  <w:vAlign w:val="center"/>
                </w:tcPr>
                <w:p w14:paraId="6A82EA58">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危险废物类别</w:t>
                  </w:r>
                </w:p>
              </w:tc>
              <w:tc>
                <w:tcPr>
                  <w:tcW w:w="746" w:type="pct"/>
                  <w:noWrap w:val="0"/>
                  <w:vAlign w:val="center"/>
                </w:tcPr>
                <w:p w14:paraId="1132DC6F">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危险废物代码</w:t>
                  </w:r>
                </w:p>
              </w:tc>
              <w:tc>
                <w:tcPr>
                  <w:tcW w:w="495" w:type="pct"/>
                  <w:noWrap w:val="0"/>
                  <w:vAlign w:val="center"/>
                </w:tcPr>
                <w:p w14:paraId="07F5CA60">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产生量（吨/年）</w:t>
                  </w:r>
                </w:p>
              </w:tc>
              <w:tc>
                <w:tcPr>
                  <w:tcW w:w="335" w:type="pct"/>
                  <w:noWrap w:val="0"/>
                  <w:vAlign w:val="center"/>
                </w:tcPr>
                <w:p w14:paraId="60200F94">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产生工序及装置</w:t>
                  </w:r>
                </w:p>
              </w:tc>
              <w:tc>
                <w:tcPr>
                  <w:tcW w:w="396" w:type="pct"/>
                  <w:noWrap w:val="0"/>
                  <w:vAlign w:val="center"/>
                </w:tcPr>
                <w:p w14:paraId="25EB78E1">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形态</w:t>
                  </w:r>
                </w:p>
              </w:tc>
              <w:tc>
                <w:tcPr>
                  <w:tcW w:w="396" w:type="pct"/>
                  <w:noWrap w:val="0"/>
                  <w:vAlign w:val="center"/>
                </w:tcPr>
                <w:p w14:paraId="74DA320D">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主要成分</w:t>
                  </w:r>
                </w:p>
              </w:tc>
              <w:tc>
                <w:tcPr>
                  <w:tcW w:w="396" w:type="pct"/>
                  <w:noWrap w:val="0"/>
                  <w:vAlign w:val="center"/>
                </w:tcPr>
                <w:p w14:paraId="2C0DB823">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有害成分</w:t>
                  </w:r>
                </w:p>
              </w:tc>
              <w:tc>
                <w:tcPr>
                  <w:tcW w:w="360" w:type="pct"/>
                  <w:noWrap w:val="0"/>
                  <w:vAlign w:val="center"/>
                </w:tcPr>
                <w:p w14:paraId="677B1341">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危险特性</w:t>
                  </w:r>
                </w:p>
              </w:tc>
              <w:tc>
                <w:tcPr>
                  <w:tcW w:w="267" w:type="pct"/>
                  <w:noWrap w:val="0"/>
                  <w:vAlign w:val="center"/>
                </w:tcPr>
                <w:p w14:paraId="58AD37CF">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产废周期</w:t>
                  </w:r>
                </w:p>
              </w:tc>
              <w:tc>
                <w:tcPr>
                  <w:tcW w:w="394" w:type="pct"/>
                  <w:noWrap w:val="0"/>
                  <w:vAlign w:val="center"/>
                </w:tcPr>
                <w:p w14:paraId="022FDB65">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污染防治措施</w:t>
                  </w:r>
                </w:p>
              </w:tc>
            </w:tr>
            <w:tr w14:paraId="064A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noWrap w:val="0"/>
                  <w:vAlign w:val="center"/>
                </w:tcPr>
                <w:p w14:paraId="634782EF">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w:t>
                  </w:r>
                  <w:r>
                    <w:rPr>
                      <w:rFonts w:hint="eastAsia" w:cs="Times New Roman"/>
                      <w:color w:val="000000" w:themeColor="text1"/>
                      <w:sz w:val="21"/>
                      <w:szCs w:val="21"/>
                      <w:highlight w:val="none"/>
                      <w:lang w:val="en-US" w:eastAsia="zh-CN"/>
                      <w14:textFill>
                        <w14:solidFill>
                          <w14:schemeClr w14:val="tx1"/>
                        </w14:solidFill>
                      </w14:textFill>
                    </w:rPr>
                    <w:t>机</w:t>
                  </w:r>
                  <w:r>
                    <w:rPr>
                      <w:rFonts w:hint="default" w:ascii="Times New Roman" w:hAnsi="Times New Roman" w:eastAsia="宋体" w:cs="Times New Roman"/>
                      <w:color w:val="000000" w:themeColor="text1"/>
                      <w:sz w:val="21"/>
                      <w:szCs w:val="21"/>
                      <w:highlight w:val="none"/>
                      <w14:textFill>
                        <w14:solidFill>
                          <w14:schemeClr w14:val="tx1"/>
                        </w14:solidFill>
                      </w14:textFill>
                    </w:rPr>
                    <w:t>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及其包装物</w:t>
                  </w:r>
                </w:p>
              </w:tc>
              <w:tc>
                <w:tcPr>
                  <w:tcW w:w="604" w:type="pct"/>
                  <w:noWrap w:val="0"/>
                  <w:vAlign w:val="center"/>
                </w:tcPr>
                <w:p w14:paraId="46E58A9F">
                  <w:pPr>
                    <w:widowControl/>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HW08</w:t>
                  </w:r>
                </w:p>
              </w:tc>
              <w:tc>
                <w:tcPr>
                  <w:tcW w:w="746" w:type="pct"/>
                  <w:noWrap w:val="0"/>
                  <w:vAlign w:val="center"/>
                </w:tcPr>
                <w:p w14:paraId="0D3B9860">
                  <w:pPr>
                    <w:widowControl/>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900-249-08</w:t>
                  </w:r>
                </w:p>
              </w:tc>
              <w:tc>
                <w:tcPr>
                  <w:tcW w:w="495" w:type="pct"/>
                  <w:noWrap w:val="0"/>
                  <w:vAlign w:val="center"/>
                </w:tcPr>
                <w:p w14:paraId="6F808435">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0.11</w:t>
                  </w:r>
                </w:p>
              </w:tc>
              <w:tc>
                <w:tcPr>
                  <w:tcW w:w="335" w:type="pct"/>
                  <w:noWrap w:val="0"/>
                  <w:vAlign w:val="center"/>
                </w:tcPr>
                <w:p w14:paraId="1E590621">
                  <w:pPr>
                    <w:shd w:val="clear"/>
                    <w:topLinePunct/>
                    <w:adjustRightInd w:val="0"/>
                    <w:snapToGrid w:val="0"/>
                    <w:jc w:val="cente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生产过程</w:t>
                  </w:r>
                </w:p>
              </w:tc>
              <w:tc>
                <w:tcPr>
                  <w:tcW w:w="396" w:type="pct"/>
                  <w:noWrap w:val="0"/>
                  <w:vAlign w:val="center"/>
                </w:tcPr>
                <w:p w14:paraId="517F0C29">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液态、固态</w:t>
                  </w:r>
                </w:p>
              </w:tc>
              <w:tc>
                <w:tcPr>
                  <w:tcW w:w="396" w:type="pct"/>
                  <w:noWrap w:val="0"/>
                  <w:vAlign w:val="center"/>
                </w:tcPr>
                <w:p w14:paraId="259A828E">
                  <w:pPr>
                    <w:shd w:val="clear"/>
                    <w:topLinePunct/>
                    <w:adjustRightInd w:val="0"/>
                    <w:snapToGrid w:val="0"/>
                    <w:spacing w:line="240" w:lineRule="auto"/>
                    <w:jc w:val="cente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油类物质</w:t>
                  </w:r>
                </w:p>
              </w:tc>
              <w:tc>
                <w:tcPr>
                  <w:tcW w:w="396" w:type="pct"/>
                  <w:noWrap w:val="0"/>
                  <w:vAlign w:val="center"/>
                </w:tcPr>
                <w:p w14:paraId="6D10F456">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油类物质</w:t>
                  </w:r>
                </w:p>
              </w:tc>
              <w:tc>
                <w:tcPr>
                  <w:tcW w:w="360" w:type="pct"/>
                  <w:noWrap w:val="0"/>
                  <w:vAlign w:val="center"/>
                </w:tcPr>
                <w:p w14:paraId="187C618B">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T，I</w:t>
                  </w:r>
                </w:p>
              </w:tc>
              <w:tc>
                <w:tcPr>
                  <w:tcW w:w="267" w:type="pct"/>
                  <w:vMerge w:val="restart"/>
                  <w:noWrap w:val="0"/>
                  <w:vAlign w:val="center"/>
                </w:tcPr>
                <w:p w14:paraId="1EE3EB8B">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不定期</w:t>
                  </w:r>
                </w:p>
              </w:tc>
              <w:tc>
                <w:tcPr>
                  <w:tcW w:w="394" w:type="pct"/>
                  <w:vMerge w:val="restart"/>
                  <w:noWrap w:val="0"/>
                  <w:vAlign w:val="center"/>
                </w:tcPr>
                <w:p w14:paraId="739B76CE">
                  <w:pPr>
                    <w:shd w:val="clear"/>
                    <w:bidi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交由具有相关危险废物经营许可证的单位处理</w:t>
                  </w:r>
                </w:p>
              </w:tc>
            </w:tr>
            <w:tr w14:paraId="3607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05" w:type="pct"/>
                  <w:noWrap w:val="0"/>
                  <w:vAlign w:val="center"/>
                </w:tcPr>
                <w:p w14:paraId="1454B390">
                  <w:pPr>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含油废抹布及废手套</w:t>
                  </w:r>
                </w:p>
              </w:tc>
              <w:tc>
                <w:tcPr>
                  <w:tcW w:w="604" w:type="pct"/>
                  <w:noWrap w:val="0"/>
                  <w:vAlign w:val="center"/>
                </w:tcPr>
                <w:p w14:paraId="2C70F0DC">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HW</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49</w:t>
                  </w:r>
                </w:p>
              </w:tc>
              <w:tc>
                <w:tcPr>
                  <w:tcW w:w="746" w:type="pct"/>
                  <w:noWrap w:val="0"/>
                  <w:vAlign w:val="center"/>
                </w:tcPr>
                <w:p w14:paraId="16311FCF">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900-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041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49</w:t>
                  </w:r>
                </w:p>
              </w:tc>
              <w:tc>
                <w:tcPr>
                  <w:tcW w:w="495" w:type="pct"/>
                  <w:noWrap w:val="0"/>
                  <w:vAlign w:val="center"/>
                </w:tcPr>
                <w:p w14:paraId="62606071">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0.031</w:t>
                  </w:r>
                </w:p>
              </w:tc>
              <w:tc>
                <w:tcPr>
                  <w:tcW w:w="335" w:type="pct"/>
                  <w:noWrap w:val="0"/>
                  <w:vAlign w:val="center"/>
                </w:tcPr>
                <w:p w14:paraId="0EA3DEA3">
                  <w:pPr>
                    <w:shd w:val="clear"/>
                    <w:topLinePunct/>
                    <w:adjustRightInd w:val="0"/>
                    <w:snapToGrid w:val="0"/>
                    <w:jc w:val="cente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生产过程</w:t>
                  </w:r>
                </w:p>
              </w:tc>
              <w:tc>
                <w:tcPr>
                  <w:tcW w:w="396" w:type="pct"/>
                  <w:noWrap w:val="0"/>
                  <w:vAlign w:val="center"/>
                </w:tcPr>
                <w:p w14:paraId="153C4204">
                  <w:pPr>
                    <w:widowControl/>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固态</w:t>
                  </w:r>
                </w:p>
              </w:tc>
              <w:tc>
                <w:tcPr>
                  <w:tcW w:w="396" w:type="pct"/>
                  <w:noWrap w:val="0"/>
                  <w:vAlign w:val="center"/>
                </w:tcPr>
                <w:p w14:paraId="0ABE8756">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油类物质</w:t>
                  </w:r>
                </w:p>
              </w:tc>
              <w:tc>
                <w:tcPr>
                  <w:tcW w:w="396" w:type="pct"/>
                  <w:noWrap w:val="0"/>
                  <w:vAlign w:val="center"/>
                </w:tcPr>
                <w:p w14:paraId="62D70892">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油类物质</w:t>
                  </w:r>
                </w:p>
              </w:tc>
              <w:tc>
                <w:tcPr>
                  <w:tcW w:w="360" w:type="pct"/>
                  <w:noWrap w:val="0"/>
                  <w:vAlign w:val="center"/>
                </w:tcPr>
                <w:p w14:paraId="6528C40C">
                  <w:pPr>
                    <w:widowControl/>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I</w:t>
                  </w:r>
                  <w:r>
                    <w:rPr>
                      <w:rFonts w:hint="eastAsia" w:cs="Times New Roman"/>
                      <w:color w:val="000000" w:themeColor="text1"/>
                      <w:sz w:val="21"/>
                      <w:szCs w:val="21"/>
                      <w:highlight w:val="none"/>
                      <w:lang w:val="en-US" w:eastAsia="zh-CN"/>
                      <w14:textFill>
                        <w14:solidFill>
                          <w14:schemeClr w14:val="tx1"/>
                        </w14:solidFill>
                      </w14:textFill>
                    </w:rPr>
                    <w:t>n</w:t>
                  </w:r>
                </w:p>
              </w:tc>
              <w:tc>
                <w:tcPr>
                  <w:tcW w:w="267" w:type="pct"/>
                  <w:vMerge w:val="continue"/>
                  <w:noWrap w:val="0"/>
                  <w:vAlign w:val="center"/>
                </w:tcPr>
                <w:p w14:paraId="5370E4D2">
                  <w:pPr>
                    <w:widowControl/>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394" w:type="pct"/>
                  <w:vMerge w:val="continue"/>
                  <w:noWrap w:val="0"/>
                  <w:vAlign w:val="center"/>
                </w:tcPr>
                <w:p w14:paraId="55A510B8">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r>
            <w:tr w14:paraId="129F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05" w:type="pct"/>
                  <w:noWrap w:val="0"/>
                  <w:vAlign w:val="center"/>
                </w:tcPr>
                <w:p w14:paraId="09F5F497">
                  <w:pPr>
                    <w:widowControl/>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废切削液</w:t>
                  </w:r>
                </w:p>
              </w:tc>
              <w:tc>
                <w:tcPr>
                  <w:tcW w:w="604" w:type="pct"/>
                  <w:noWrap w:val="0"/>
                  <w:vAlign w:val="center"/>
                </w:tcPr>
                <w:p w14:paraId="4B4ECFA6">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kern w:val="21"/>
                      <w:position w:val="0"/>
                      <w:sz w:val="21"/>
                      <w:szCs w:val="21"/>
                      <w:highlight w:val="none"/>
                      <w14:textFill>
                        <w14:solidFill>
                          <w14:schemeClr w14:val="tx1"/>
                        </w14:solidFill>
                      </w14:textFill>
                    </w:rPr>
                    <w:t>HW09</w:t>
                  </w:r>
                </w:p>
              </w:tc>
              <w:tc>
                <w:tcPr>
                  <w:tcW w:w="746" w:type="pct"/>
                  <w:noWrap w:val="0"/>
                  <w:vAlign w:val="center"/>
                </w:tcPr>
                <w:p w14:paraId="0EE45EDC">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kern w:val="21"/>
                      <w:position w:val="0"/>
                      <w:sz w:val="21"/>
                      <w:szCs w:val="21"/>
                      <w:highlight w:val="none"/>
                      <w14:textFill>
                        <w14:solidFill>
                          <w14:schemeClr w14:val="tx1"/>
                        </w14:solidFill>
                      </w14:textFill>
                    </w:rPr>
                    <w:t>900-006-09</w:t>
                  </w:r>
                </w:p>
              </w:tc>
              <w:tc>
                <w:tcPr>
                  <w:tcW w:w="495" w:type="pct"/>
                  <w:noWrap w:val="0"/>
                  <w:vAlign w:val="center"/>
                </w:tcPr>
                <w:p w14:paraId="4E4C3DE0">
                  <w:pPr>
                    <w:shd w:val="clear"/>
                    <w:topLinePunct/>
                    <w:adjustRightInd w:val="0"/>
                    <w:snapToGrid w:val="0"/>
                    <w:jc w:val="center"/>
                    <w:rPr>
                      <w:rFonts w:hint="default"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1.35</w:t>
                  </w:r>
                </w:p>
              </w:tc>
              <w:tc>
                <w:tcPr>
                  <w:tcW w:w="335" w:type="pct"/>
                  <w:noWrap w:val="0"/>
                  <w:vAlign w:val="center"/>
                </w:tcPr>
                <w:p w14:paraId="5F46892C">
                  <w:pPr>
                    <w:shd w:val="clear"/>
                    <w:topLinePunct/>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设备</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运行</w:t>
                  </w:r>
                </w:p>
              </w:tc>
              <w:tc>
                <w:tcPr>
                  <w:tcW w:w="396" w:type="pct"/>
                  <w:noWrap w:val="0"/>
                  <w:vAlign w:val="center"/>
                </w:tcPr>
                <w:p w14:paraId="5385A78B">
                  <w:pPr>
                    <w:shd w:val="clear"/>
                    <w:topLinePunct/>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液态</w:t>
                  </w:r>
                </w:p>
              </w:tc>
              <w:tc>
                <w:tcPr>
                  <w:tcW w:w="396" w:type="pct"/>
                  <w:noWrap w:val="0"/>
                  <w:vAlign w:val="center"/>
                </w:tcPr>
                <w:p w14:paraId="0805F13F">
                  <w:pPr>
                    <w:shd w:val="clear"/>
                    <w:topLinePunct/>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有毒有害物质</w:t>
                  </w:r>
                </w:p>
              </w:tc>
              <w:tc>
                <w:tcPr>
                  <w:tcW w:w="396" w:type="pct"/>
                  <w:noWrap w:val="0"/>
                  <w:vAlign w:val="center"/>
                </w:tcPr>
                <w:p w14:paraId="3FAB8E86">
                  <w:pPr>
                    <w:shd w:val="clear"/>
                    <w:topLinePunct/>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有毒有害物质</w:t>
                  </w:r>
                </w:p>
              </w:tc>
              <w:tc>
                <w:tcPr>
                  <w:tcW w:w="360" w:type="pct"/>
                  <w:noWrap w:val="0"/>
                  <w:vAlign w:val="center"/>
                </w:tcPr>
                <w:p w14:paraId="55DD9D24">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T</w:t>
                  </w:r>
                </w:p>
              </w:tc>
              <w:tc>
                <w:tcPr>
                  <w:tcW w:w="267" w:type="pct"/>
                  <w:vMerge w:val="continue"/>
                  <w:noWrap w:val="0"/>
                  <w:vAlign w:val="center"/>
                </w:tcPr>
                <w:p w14:paraId="3C5413F4">
                  <w:pPr>
                    <w:widowControl/>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394" w:type="pct"/>
                  <w:vMerge w:val="continue"/>
                  <w:noWrap w:val="0"/>
                  <w:vAlign w:val="center"/>
                </w:tcPr>
                <w:p w14:paraId="5A34AAC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r>
            <w:tr w14:paraId="1810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05" w:type="pct"/>
                  <w:noWrap w:val="0"/>
                  <w:vAlign w:val="center"/>
                </w:tcPr>
                <w:p w14:paraId="222E3682">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废包装物</w:t>
                  </w:r>
                </w:p>
              </w:tc>
              <w:tc>
                <w:tcPr>
                  <w:tcW w:w="604" w:type="pct"/>
                  <w:noWrap w:val="0"/>
                  <w:vAlign w:val="center"/>
                </w:tcPr>
                <w:p w14:paraId="22898956">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kern w:val="21"/>
                      <w:position w:val="0"/>
                      <w:sz w:val="21"/>
                      <w:szCs w:val="21"/>
                      <w:highlight w:val="none"/>
                      <w14:textFill>
                        <w14:solidFill>
                          <w14:schemeClr w14:val="tx1"/>
                        </w14:solidFill>
                      </w14:textFill>
                    </w:rPr>
                    <w:t>HW49</w:t>
                  </w:r>
                </w:p>
              </w:tc>
              <w:tc>
                <w:tcPr>
                  <w:tcW w:w="746" w:type="pct"/>
                  <w:noWrap w:val="0"/>
                  <w:vAlign w:val="center"/>
                </w:tcPr>
                <w:p w14:paraId="60120B16">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kern w:val="21"/>
                      <w:position w:val="0"/>
                      <w:sz w:val="21"/>
                      <w:szCs w:val="21"/>
                      <w:highlight w:val="none"/>
                      <w14:textFill>
                        <w14:solidFill>
                          <w14:schemeClr w14:val="tx1"/>
                        </w14:solidFill>
                      </w14:textFill>
                    </w:rPr>
                    <w:t>900-041-49</w:t>
                  </w:r>
                </w:p>
              </w:tc>
              <w:tc>
                <w:tcPr>
                  <w:tcW w:w="495" w:type="pct"/>
                  <w:noWrap w:val="0"/>
                  <w:vAlign w:val="center"/>
                </w:tcPr>
                <w:p w14:paraId="2602767D">
                  <w:pPr>
                    <w:shd w:val="clear"/>
                    <w:topLinePunct/>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0.081</w:t>
                  </w:r>
                </w:p>
              </w:tc>
              <w:tc>
                <w:tcPr>
                  <w:tcW w:w="335" w:type="pct"/>
                  <w:noWrap w:val="0"/>
                  <w:vAlign w:val="center"/>
                </w:tcPr>
                <w:p w14:paraId="2DC8893C">
                  <w:pPr>
                    <w:shd w:val="clear"/>
                    <w:topLinePunct/>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kern w:val="0"/>
                      <w:szCs w:val="21"/>
                      <w:highlight w:val="none"/>
                      <w:lang w:val="en-US" w:eastAsia="zh-CN"/>
                      <w14:textFill>
                        <w14:solidFill>
                          <w14:schemeClr w14:val="tx1"/>
                        </w14:solidFill>
                      </w14:textFill>
                    </w:rPr>
                    <w:t>生产过程</w:t>
                  </w:r>
                </w:p>
              </w:tc>
              <w:tc>
                <w:tcPr>
                  <w:tcW w:w="396" w:type="pct"/>
                  <w:noWrap w:val="0"/>
                  <w:vAlign w:val="center"/>
                </w:tcPr>
                <w:p w14:paraId="32AA149A">
                  <w:pPr>
                    <w:shd w:val="clear"/>
                    <w:topLinePunct/>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kern w:val="0"/>
                      <w:szCs w:val="21"/>
                      <w:highlight w:val="none"/>
                      <w:lang w:val="en-US" w:eastAsia="zh-CN"/>
                      <w14:textFill>
                        <w14:solidFill>
                          <w14:schemeClr w14:val="tx1"/>
                        </w14:solidFill>
                      </w14:textFill>
                    </w:rPr>
                    <w:t>固</w:t>
                  </w:r>
                  <w:r>
                    <w:rPr>
                      <w:rFonts w:hint="default" w:ascii="Times New Roman" w:hAnsi="Times New Roman" w:eastAsia="宋体" w:cs="Times New Roman"/>
                      <w:color w:val="000000" w:themeColor="text1"/>
                      <w:kern w:val="0"/>
                      <w:szCs w:val="21"/>
                      <w:highlight w:val="none"/>
                      <w14:textFill>
                        <w14:solidFill>
                          <w14:schemeClr w14:val="tx1"/>
                        </w14:solidFill>
                      </w14:textFill>
                    </w:rPr>
                    <w:t>态</w:t>
                  </w:r>
                </w:p>
              </w:tc>
              <w:tc>
                <w:tcPr>
                  <w:tcW w:w="396" w:type="pct"/>
                  <w:noWrap w:val="0"/>
                  <w:vAlign w:val="center"/>
                </w:tcPr>
                <w:p w14:paraId="63A3AFDE">
                  <w:pPr>
                    <w:shd w:val="clear"/>
                    <w:topLinePunct/>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有毒有害物质</w:t>
                  </w:r>
                </w:p>
              </w:tc>
              <w:tc>
                <w:tcPr>
                  <w:tcW w:w="396" w:type="pct"/>
                  <w:noWrap w:val="0"/>
                  <w:vAlign w:val="center"/>
                </w:tcPr>
                <w:p w14:paraId="2003A1A4">
                  <w:pPr>
                    <w:shd w:val="clear"/>
                    <w:topLinePunct/>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有毒有害物质</w:t>
                  </w:r>
                </w:p>
              </w:tc>
              <w:tc>
                <w:tcPr>
                  <w:tcW w:w="360" w:type="pct"/>
                  <w:noWrap w:val="0"/>
                  <w:vAlign w:val="center"/>
                </w:tcPr>
                <w:p w14:paraId="60F62255">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kern w:val="21"/>
                      <w:position w:val="0"/>
                      <w:sz w:val="21"/>
                      <w:szCs w:val="21"/>
                      <w:highlight w:val="none"/>
                      <w14:textFill>
                        <w14:solidFill>
                          <w14:schemeClr w14:val="tx1"/>
                        </w14:solidFill>
                      </w14:textFill>
                    </w:rPr>
                    <w:t>T/In</w:t>
                  </w:r>
                </w:p>
              </w:tc>
              <w:tc>
                <w:tcPr>
                  <w:tcW w:w="267" w:type="pct"/>
                  <w:vMerge w:val="continue"/>
                  <w:noWrap w:val="0"/>
                  <w:vAlign w:val="center"/>
                </w:tcPr>
                <w:p w14:paraId="089353F4">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94" w:type="pct"/>
                  <w:vMerge w:val="continue"/>
                  <w:noWrap w:val="0"/>
                  <w:vAlign w:val="center"/>
                </w:tcPr>
                <w:p w14:paraId="4CF3C71B">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A8F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05" w:type="pct"/>
                  <w:noWrap w:val="0"/>
                  <w:vAlign w:val="center"/>
                </w:tcPr>
                <w:p w14:paraId="10512A76">
                  <w:pPr>
                    <w:widowControl/>
                    <w:shd w:val="clear"/>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废火花油及其包装物</w:t>
                  </w:r>
                </w:p>
              </w:tc>
              <w:tc>
                <w:tcPr>
                  <w:tcW w:w="604" w:type="pct"/>
                  <w:noWrap w:val="0"/>
                  <w:vAlign w:val="center"/>
                </w:tcPr>
                <w:p w14:paraId="0F5D7A1E">
                  <w:pPr>
                    <w:widowControl/>
                    <w:shd w:val="clear"/>
                    <w:spacing w:line="240" w:lineRule="auto"/>
                    <w:jc w:val="center"/>
                    <w:rPr>
                      <w:rFonts w:hint="default" w:ascii="Times New Roman" w:hAnsi="Times New Roman" w:eastAsia="宋体" w:cs="Times New Roman"/>
                      <w:b w:val="0"/>
                      <w:bCs w:val="0"/>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HW08</w:t>
                  </w:r>
                </w:p>
              </w:tc>
              <w:tc>
                <w:tcPr>
                  <w:tcW w:w="746" w:type="pct"/>
                  <w:noWrap w:val="0"/>
                  <w:vAlign w:val="center"/>
                </w:tcPr>
                <w:p w14:paraId="1F6532A2">
                  <w:pPr>
                    <w:widowControl/>
                    <w:shd w:val="clear"/>
                    <w:spacing w:line="240" w:lineRule="auto"/>
                    <w:jc w:val="center"/>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900-249-08</w:t>
                  </w:r>
                </w:p>
              </w:tc>
              <w:tc>
                <w:tcPr>
                  <w:tcW w:w="495" w:type="pct"/>
                  <w:noWrap w:val="0"/>
                  <w:vAlign w:val="center"/>
                </w:tcPr>
                <w:p w14:paraId="4A8C5CB7">
                  <w:pPr>
                    <w:shd w:val="clear"/>
                    <w:topLinePunct/>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0.059</w:t>
                  </w:r>
                </w:p>
              </w:tc>
              <w:tc>
                <w:tcPr>
                  <w:tcW w:w="335" w:type="pct"/>
                  <w:noWrap w:val="0"/>
                  <w:vAlign w:val="center"/>
                </w:tcPr>
                <w:p w14:paraId="593F9F92">
                  <w:pPr>
                    <w:shd w:val="clear"/>
                    <w:topLinePunct/>
                    <w:adjustRightInd w:val="0"/>
                    <w:snapToGrid w:val="0"/>
                    <w:jc w:val="center"/>
                    <w:rPr>
                      <w:rFonts w:hint="default"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生产过程</w:t>
                  </w:r>
                </w:p>
              </w:tc>
              <w:tc>
                <w:tcPr>
                  <w:tcW w:w="396" w:type="pct"/>
                  <w:noWrap w:val="0"/>
                  <w:vAlign w:val="center"/>
                </w:tcPr>
                <w:p w14:paraId="7335ED4A">
                  <w:pPr>
                    <w:shd w:val="clear"/>
                    <w:topLinePunct/>
                    <w:adjustRightInd w:val="0"/>
                    <w:snapToGrid w:val="0"/>
                    <w:spacing w:line="240" w:lineRule="auto"/>
                    <w:jc w:val="center"/>
                    <w:rPr>
                      <w:rFonts w:hint="eastAsia"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液态、固态</w:t>
                  </w:r>
                </w:p>
              </w:tc>
              <w:tc>
                <w:tcPr>
                  <w:tcW w:w="396" w:type="pct"/>
                  <w:noWrap w:val="0"/>
                  <w:vAlign w:val="center"/>
                </w:tcPr>
                <w:p w14:paraId="5D31C555">
                  <w:pPr>
                    <w:shd w:val="clear"/>
                    <w:topLinePunct/>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油类物质</w:t>
                  </w:r>
                </w:p>
              </w:tc>
              <w:tc>
                <w:tcPr>
                  <w:tcW w:w="396" w:type="pct"/>
                  <w:noWrap w:val="0"/>
                  <w:vAlign w:val="center"/>
                </w:tcPr>
                <w:p w14:paraId="23680124">
                  <w:pPr>
                    <w:shd w:val="clear"/>
                    <w:topLinePunct/>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油类物质</w:t>
                  </w:r>
                </w:p>
              </w:tc>
              <w:tc>
                <w:tcPr>
                  <w:tcW w:w="360" w:type="pct"/>
                  <w:noWrap w:val="0"/>
                  <w:vAlign w:val="center"/>
                </w:tcPr>
                <w:p w14:paraId="497D80EB">
                  <w:pPr>
                    <w:widowControl/>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T，I</w:t>
                  </w:r>
                </w:p>
              </w:tc>
              <w:tc>
                <w:tcPr>
                  <w:tcW w:w="267" w:type="pct"/>
                  <w:vMerge w:val="continue"/>
                  <w:noWrap w:val="0"/>
                  <w:vAlign w:val="center"/>
                </w:tcPr>
                <w:p w14:paraId="7711AB13">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94" w:type="pct"/>
                  <w:vMerge w:val="continue"/>
                  <w:noWrap w:val="0"/>
                  <w:vAlign w:val="center"/>
                </w:tcPr>
                <w:p w14:paraId="45D3246F">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51F1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05" w:type="pct"/>
                  <w:noWrap w:val="0"/>
                  <w:vAlign w:val="center"/>
                </w:tcPr>
                <w:p w14:paraId="6F5FCC2D">
                  <w:pPr>
                    <w:widowControl/>
                    <w:shd w:val="clear"/>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锌、铝熔渣</w:t>
                  </w:r>
                </w:p>
              </w:tc>
              <w:tc>
                <w:tcPr>
                  <w:tcW w:w="604" w:type="pct"/>
                  <w:noWrap w:val="0"/>
                  <w:vAlign w:val="center"/>
                </w:tcPr>
                <w:p w14:paraId="64B776C0">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14:textFill>
                        <w14:solidFill>
                          <w14:schemeClr w14:val="tx1"/>
                        </w14:solidFill>
                      </w14:textFill>
                    </w:rPr>
                    <w:t>HW48</w:t>
                  </w:r>
                </w:p>
              </w:tc>
              <w:tc>
                <w:tcPr>
                  <w:tcW w:w="746" w:type="pct"/>
                  <w:noWrap w:val="0"/>
                  <w:vAlign w:val="center"/>
                </w:tcPr>
                <w:p w14:paraId="4584A190">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14:textFill>
                        <w14:solidFill>
                          <w14:schemeClr w14:val="tx1"/>
                        </w14:solidFill>
                      </w14:textFill>
                    </w:rPr>
                    <w:t>321-026-48</w:t>
                  </w:r>
                </w:p>
              </w:tc>
              <w:tc>
                <w:tcPr>
                  <w:tcW w:w="495" w:type="pct"/>
                  <w:noWrap w:val="0"/>
                  <w:vAlign w:val="center"/>
                </w:tcPr>
                <w:p w14:paraId="3EFC157E">
                  <w:pPr>
                    <w:shd w:val="clear"/>
                    <w:topLinePunct/>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1.321</w:t>
                  </w:r>
                </w:p>
              </w:tc>
              <w:tc>
                <w:tcPr>
                  <w:tcW w:w="335" w:type="pct"/>
                  <w:noWrap w:val="0"/>
                  <w:vAlign w:val="center"/>
                </w:tcPr>
                <w:p w14:paraId="00CFB1C3">
                  <w:pPr>
                    <w:shd w:val="clear"/>
                    <w:topLinePunct/>
                    <w:adjustRightInd w:val="0"/>
                    <w:snapToGrid w:val="0"/>
                    <w:jc w:val="center"/>
                    <w:rPr>
                      <w:rFonts w:hint="default"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生产过程</w:t>
                  </w:r>
                </w:p>
              </w:tc>
              <w:tc>
                <w:tcPr>
                  <w:tcW w:w="396" w:type="pct"/>
                  <w:noWrap w:val="0"/>
                  <w:vAlign w:val="center"/>
                </w:tcPr>
                <w:p w14:paraId="6887E1D8">
                  <w:pPr>
                    <w:shd w:val="clear"/>
                    <w:topLinePunct/>
                    <w:adjustRightInd w:val="0"/>
                    <w:snapToGrid w:val="0"/>
                    <w:jc w:val="center"/>
                    <w:rPr>
                      <w:rFonts w:hint="default"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固态</w:t>
                  </w:r>
                </w:p>
              </w:tc>
              <w:tc>
                <w:tcPr>
                  <w:tcW w:w="396" w:type="pct"/>
                  <w:noWrap w:val="0"/>
                  <w:vAlign w:val="center"/>
                </w:tcPr>
                <w:p w14:paraId="647FC3E9">
                  <w:pPr>
                    <w:shd w:val="clear"/>
                    <w:topLinePunct/>
                    <w:adjustRightInd w:val="0"/>
                    <w:snapToGrid w:val="0"/>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锌渣、铝渣</w:t>
                  </w:r>
                </w:p>
              </w:tc>
              <w:tc>
                <w:tcPr>
                  <w:tcW w:w="396" w:type="pct"/>
                  <w:noWrap w:val="0"/>
                  <w:vAlign w:val="center"/>
                </w:tcPr>
                <w:p w14:paraId="44B5DC88">
                  <w:pPr>
                    <w:shd w:val="clear"/>
                    <w:topLinePunct/>
                    <w:adjustRightInd w:val="0"/>
                    <w:snapToGrid w:val="0"/>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锌渣、铝渣</w:t>
                  </w:r>
                </w:p>
              </w:tc>
              <w:tc>
                <w:tcPr>
                  <w:tcW w:w="360" w:type="pct"/>
                  <w:noWrap w:val="0"/>
                  <w:vAlign w:val="center"/>
                </w:tcPr>
                <w:p w14:paraId="6ABC6BEE">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lang w:val="en-US" w:eastAsia="zh-CN"/>
                      <w14:textFill>
                        <w14:solidFill>
                          <w14:schemeClr w14:val="tx1"/>
                        </w14:solidFill>
                      </w14:textFill>
                    </w:rPr>
                    <w:t>R</w:t>
                  </w:r>
                </w:p>
              </w:tc>
              <w:tc>
                <w:tcPr>
                  <w:tcW w:w="267" w:type="pct"/>
                  <w:vMerge w:val="continue"/>
                  <w:noWrap w:val="0"/>
                  <w:vAlign w:val="center"/>
                </w:tcPr>
                <w:p w14:paraId="17E2C98B">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94" w:type="pct"/>
                  <w:vMerge w:val="continue"/>
                  <w:noWrap w:val="0"/>
                  <w:vAlign w:val="center"/>
                </w:tcPr>
                <w:p w14:paraId="63A1005F">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1B8BB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05" w:type="pct"/>
                  <w:noWrap w:val="0"/>
                  <w:vAlign w:val="center"/>
                </w:tcPr>
                <w:p w14:paraId="0B208F76">
                  <w:pPr>
                    <w:widowControl/>
                    <w:shd w:val="clea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喷淋沉渣</w:t>
                  </w:r>
                </w:p>
              </w:tc>
              <w:tc>
                <w:tcPr>
                  <w:tcW w:w="604" w:type="pct"/>
                  <w:noWrap w:val="0"/>
                  <w:vAlign w:val="center"/>
                </w:tcPr>
                <w:p w14:paraId="15F4A5D6">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14:textFill>
                        <w14:solidFill>
                          <w14:schemeClr w14:val="tx1"/>
                        </w14:solidFill>
                      </w14:textFill>
                    </w:rPr>
                    <w:t>HW48</w:t>
                  </w:r>
                </w:p>
              </w:tc>
              <w:tc>
                <w:tcPr>
                  <w:tcW w:w="746" w:type="pct"/>
                  <w:noWrap w:val="0"/>
                  <w:vAlign w:val="center"/>
                </w:tcPr>
                <w:p w14:paraId="29D07422">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14:textFill>
                        <w14:solidFill>
                          <w14:schemeClr w14:val="tx1"/>
                        </w14:solidFill>
                      </w14:textFill>
                    </w:rPr>
                    <w:t>321-0</w:t>
                  </w:r>
                  <w:r>
                    <w:rPr>
                      <w:rFonts w:hint="eastAsia" w:ascii="Times New Roman" w:hAnsi="Times New Roman"/>
                      <w:color w:val="000000" w:themeColor="text1"/>
                      <w:spacing w:val="0"/>
                      <w:kern w:val="21"/>
                      <w:position w:val="0"/>
                      <w:sz w:val="21"/>
                      <w:szCs w:val="21"/>
                      <w:highlight w:val="none"/>
                      <w:lang w:val="en-US" w:eastAsia="zh-CN"/>
                      <w14:textFill>
                        <w14:solidFill>
                          <w14:schemeClr w14:val="tx1"/>
                        </w14:solidFill>
                      </w14:textFill>
                    </w:rPr>
                    <w:t>34</w:t>
                  </w:r>
                  <w:r>
                    <w:rPr>
                      <w:rFonts w:hint="eastAsia" w:ascii="Times New Roman" w:hAnsi="Times New Roman" w:eastAsia="宋体"/>
                      <w:color w:val="000000" w:themeColor="text1"/>
                      <w:spacing w:val="0"/>
                      <w:kern w:val="21"/>
                      <w:position w:val="0"/>
                      <w:sz w:val="21"/>
                      <w:szCs w:val="21"/>
                      <w:highlight w:val="none"/>
                      <w14:textFill>
                        <w14:solidFill>
                          <w14:schemeClr w14:val="tx1"/>
                        </w14:solidFill>
                      </w14:textFill>
                    </w:rPr>
                    <w:t>-48</w:t>
                  </w:r>
                </w:p>
              </w:tc>
              <w:tc>
                <w:tcPr>
                  <w:tcW w:w="495" w:type="pct"/>
                  <w:noWrap w:val="0"/>
                  <w:vAlign w:val="center"/>
                </w:tcPr>
                <w:p w14:paraId="72BBBAEB">
                  <w:pPr>
                    <w:shd w:val="clear"/>
                    <w:topLinePunct/>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0.0761</w:t>
                  </w:r>
                </w:p>
              </w:tc>
              <w:tc>
                <w:tcPr>
                  <w:tcW w:w="335" w:type="pct"/>
                  <w:noWrap w:val="0"/>
                  <w:vAlign w:val="center"/>
                </w:tcPr>
                <w:p w14:paraId="66B89297">
                  <w:pPr>
                    <w:shd w:val="clear"/>
                    <w:topLinePunct/>
                    <w:adjustRightInd w:val="0"/>
                    <w:snapToGrid w:val="0"/>
                    <w:jc w:val="center"/>
                    <w:rPr>
                      <w:rFonts w:hint="default"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废气处理</w:t>
                  </w:r>
                </w:p>
              </w:tc>
              <w:tc>
                <w:tcPr>
                  <w:tcW w:w="396" w:type="pct"/>
                  <w:noWrap w:val="0"/>
                  <w:vAlign w:val="center"/>
                </w:tcPr>
                <w:p w14:paraId="4FC73298">
                  <w:pPr>
                    <w:shd w:val="clear"/>
                    <w:topLinePunct/>
                    <w:adjustRightInd w:val="0"/>
                    <w:snapToGrid w:val="0"/>
                    <w:jc w:val="center"/>
                    <w:rPr>
                      <w:rFonts w:hint="default"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固态</w:t>
                  </w:r>
                </w:p>
              </w:tc>
              <w:tc>
                <w:tcPr>
                  <w:tcW w:w="396" w:type="pct"/>
                  <w:noWrap w:val="0"/>
                  <w:vAlign w:val="center"/>
                </w:tcPr>
                <w:p w14:paraId="30E1ABD5">
                  <w:pPr>
                    <w:shd w:val="clear"/>
                    <w:topLinePunct/>
                    <w:adjustRightInd w:val="0"/>
                    <w:snapToGrid w:val="0"/>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锌渣、铝渣</w:t>
                  </w:r>
                </w:p>
              </w:tc>
              <w:tc>
                <w:tcPr>
                  <w:tcW w:w="396" w:type="pct"/>
                  <w:noWrap w:val="0"/>
                  <w:vAlign w:val="center"/>
                </w:tcPr>
                <w:p w14:paraId="52C15A8F">
                  <w:pPr>
                    <w:shd w:val="clear"/>
                    <w:topLinePunct/>
                    <w:adjustRightInd w:val="0"/>
                    <w:snapToGrid w:val="0"/>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锌渣、铝渣</w:t>
                  </w:r>
                </w:p>
              </w:tc>
              <w:tc>
                <w:tcPr>
                  <w:tcW w:w="360" w:type="pct"/>
                  <w:noWrap w:val="0"/>
                  <w:vAlign w:val="center"/>
                </w:tcPr>
                <w:p w14:paraId="3001E123">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lang w:val="en-US" w:eastAsia="zh-CN"/>
                      <w14:textFill>
                        <w14:solidFill>
                          <w14:schemeClr w14:val="tx1"/>
                        </w14:solidFill>
                      </w14:textFill>
                    </w:rPr>
                    <w:t>R</w:t>
                  </w:r>
                </w:p>
              </w:tc>
              <w:tc>
                <w:tcPr>
                  <w:tcW w:w="267" w:type="pct"/>
                  <w:vMerge w:val="continue"/>
                  <w:noWrap w:val="0"/>
                  <w:vAlign w:val="center"/>
                </w:tcPr>
                <w:p w14:paraId="2485AD58">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94" w:type="pct"/>
                  <w:vMerge w:val="continue"/>
                  <w:noWrap w:val="0"/>
                  <w:vAlign w:val="center"/>
                </w:tcPr>
                <w:p w14:paraId="2A8E7188">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965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05" w:type="pct"/>
                  <w:noWrap w:val="0"/>
                  <w:vAlign w:val="center"/>
                </w:tcPr>
                <w:p w14:paraId="36D0C2B7">
                  <w:pPr>
                    <w:widowControl/>
                    <w:shd w:val="clear"/>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含切削液金属屑</w:t>
                  </w:r>
                </w:p>
              </w:tc>
              <w:tc>
                <w:tcPr>
                  <w:tcW w:w="604" w:type="pct"/>
                  <w:noWrap w:val="0"/>
                  <w:vAlign w:val="center"/>
                </w:tcPr>
                <w:p w14:paraId="14071A36">
                  <w:pPr>
                    <w:topLinePunct/>
                    <w:adjustRightInd w:val="0"/>
                    <w:snapToGrid w:val="0"/>
                    <w:jc w:val="center"/>
                    <w:rPr>
                      <w:rFonts w:hint="default"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t>HW0</w:t>
                  </w:r>
                  <w:r>
                    <w:rPr>
                      <w:rFonts w:hint="eastAsia" w:cs="Times New Roman"/>
                      <w:bCs/>
                      <w:color w:val="000000" w:themeColor="text1"/>
                      <w:szCs w:val="21"/>
                      <w:highlight w:val="none"/>
                      <w:lang w:val="en-US" w:eastAsia="zh-CN"/>
                      <w14:textFill>
                        <w14:solidFill>
                          <w14:schemeClr w14:val="tx1"/>
                        </w14:solidFill>
                      </w14:textFill>
                    </w:rPr>
                    <w:t>8</w:t>
                  </w:r>
                </w:p>
              </w:tc>
              <w:tc>
                <w:tcPr>
                  <w:tcW w:w="746" w:type="pct"/>
                  <w:noWrap w:val="0"/>
                  <w:vAlign w:val="center"/>
                </w:tcPr>
                <w:p w14:paraId="19AEB5AC">
                  <w:pPr>
                    <w:topLinePunct/>
                    <w:adjustRightInd w:val="0"/>
                    <w:snapToGrid w:val="0"/>
                    <w:jc w:val="center"/>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t>900-006-09</w:t>
                  </w:r>
                </w:p>
              </w:tc>
              <w:tc>
                <w:tcPr>
                  <w:tcW w:w="495" w:type="pct"/>
                  <w:noWrap w:val="0"/>
                  <w:vAlign w:val="center"/>
                </w:tcPr>
                <w:p w14:paraId="763036D0">
                  <w:pPr>
                    <w:shd w:val="clear"/>
                    <w:topLinePunct/>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0.3963</w:t>
                  </w:r>
                </w:p>
              </w:tc>
              <w:tc>
                <w:tcPr>
                  <w:tcW w:w="335" w:type="pct"/>
                  <w:noWrap w:val="0"/>
                  <w:vAlign w:val="center"/>
                </w:tcPr>
                <w:p w14:paraId="7E096D93">
                  <w:pPr>
                    <w:shd w:val="clear"/>
                    <w:topLinePunct/>
                    <w:adjustRightInd w:val="0"/>
                    <w:snapToGrid w:val="0"/>
                    <w:jc w:val="center"/>
                    <w:rPr>
                      <w:rFonts w:hint="default"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生产过程</w:t>
                  </w:r>
                </w:p>
              </w:tc>
              <w:tc>
                <w:tcPr>
                  <w:tcW w:w="396" w:type="pct"/>
                  <w:noWrap w:val="0"/>
                  <w:vAlign w:val="center"/>
                </w:tcPr>
                <w:p w14:paraId="76279857">
                  <w:pPr>
                    <w:shd w:val="clear"/>
                    <w:topLinePunct/>
                    <w:adjustRightInd w:val="0"/>
                    <w:snapToGrid w:val="0"/>
                    <w:jc w:val="center"/>
                    <w:rPr>
                      <w:rFonts w:hint="default"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固态</w:t>
                  </w:r>
                </w:p>
              </w:tc>
              <w:tc>
                <w:tcPr>
                  <w:tcW w:w="396" w:type="pct"/>
                  <w:noWrap w:val="0"/>
                  <w:vAlign w:val="center"/>
                </w:tcPr>
                <w:p w14:paraId="73AA3323">
                  <w:pPr>
                    <w:shd w:val="clear"/>
                    <w:topLinePunct/>
                    <w:adjustRightInd w:val="0"/>
                    <w:snapToGrid w:val="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有毒有害物质</w:t>
                  </w:r>
                </w:p>
              </w:tc>
              <w:tc>
                <w:tcPr>
                  <w:tcW w:w="396" w:type="pct"/>
                  <w:noWrap w:val="0"/>
                  <w:vAlign w:val="center"/>
                </w:tcPr>
                <w:p w14:paraId="3B13C0BC">
                  <w:pPr>
                    <w:shd w:val="clear"/>
                    <w:topLinePunct/>
                    <w:adjustRightInd w:val="0"/>
                    <w:snapToGrid w:val="0"/>
                    <w:jc w:val="both"/>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有毒有害物质</w:t>
                  </w:r>
                </w:p>
              </w:tc>
              <w:tc>
                <w:tcPr>
                  <w:tcW w:w="360" w:type="pct"/>
                  <w:noWrap w:val="0"/>
                  <w:vAlign w:val="center"/>
                </w:tcPr>
                <w:p w14:paraId="79C3B77B">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lang w:val="en-US" w:eastAsia="zh-CN"/>
                      <w14:textFill>
                        <w14:solidFill>
                          <w14:schemeClr w14:val="tx1"/>
                        </w14:solidFill>
                      </w14:textFill>
                    </w:rPr>
                    <w:t>T</w:t>
                  </w:r>
                </w:p>
              </w:tc>
              <w:tc>
                <w:tcPr>
                  <w:tcW w:w="267" w:type="pct"/>
                  <w:vMerge w:val="continue"/>
                  <w:noWrap w:val="0"/>
                  <w:vAlign w:val="center"/>
                </w:tcPr>
                <w:p w14:paraId="64D049D3">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94" w:type="pct"/>
                  <w:vMerge w:val="continue"/>
                  <w:noWrap w:val="0"/>
                  <w:vAlign w:val="center"/>
                </w:tcPr>
                <w:p w14:paraId="021539E0">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D97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05" w:type="pct"/>
                  <w:noWrap w:val="0"/>
                  <w:vAlign w:val="center"/>
                </w:tcPr>
                <w:p w14:paraId="2473EC72">
                  <w:pPr>
                    <w:widowControl/>
                    <w:shd w:val="clea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含油金属屑</w:t>
                  </w:r>
                </w:p>
              </w:tc>
              <w:tc>
                <w:tcPr>
                  <w:tcW w:w="604" w:type="pct"/>
                  <w:noWrap w:val="0"/>
                  <w:vAlign w:val="center"/>
                </w:tcPr>
                <w:p w14:paraId="535BB017">
                  <w:pPr>
                    <w:widowControl/>
                    <w:shd w:val="clear"/>
                    <w:spacing w:line="240" w:lineRule="auto"/>
                    <w:jc w:val="cente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HW</w:t>
                  </w:r>
                  <w:r>
                    <w:rPr>
                      <w:rFonts w:hint="eastAsia" w:cs="Times New Roman"/>
                      <w:color w:val="000000" w:themeColor="text1"/>
                      <w:sz w:val="21"/>
                      <w:szCs w:val="21"/>
                      <w:highlight w:val="none"/>
                      <w:lang w:val="en-US" w:eastAsia="zh-CN"/>
                      <w14:textFill>
                        <w14:solidFill>
                          <w14:schemeClr w14:val="tx1"/>
                        </w14:solidFill>
                      </w14:textFill>
                    </w:rPr>
                    <w:t>49</w:t>
                  </w:r>
                </w:p>
              </w:tc>
              <w:tc>
                <w:tcPr>
                  <w:tcW w:w="746" w:type="pct"/>
                  <w:noWrap w:val="0"/>
                  <w:vAlign w:val="center"/>
                </w:tcPr>
                <w:p w14:paraId="7450F79B">
                  <w:pPr>
                    <w:widowControl/>
                    <w:shd w:val="clear"/>
                    <w:spacing w:line="240" w:lineRule="auto"/>
                    <w:jc w:val="cente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900-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041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49</w:t>
                  </w:r>
                </w:p>
              </w:tc>
              <w:tc>
                <w:tcPr>
                  <w:tcW w:w="495" w:type="pct"/>
                  <w:noWrap w:val="0"/>
                  <w:vAlign w:val="center"/>
                </w:tcPr>
                <w:p w14:paraId="2AF42C5D">
                  <w:pPr>
                    <w:shd w:val="clear"/>
                    <w:topLinePunct/>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0.05</w:t>
                  </w:r>
                </w:p>
              </w:tc>
              <w:tc>
                <w:tcPr>
                  <w:tcW w:w="335" w:type="pct"/>
                  <w:noWrap w:val="0"/>
                  <w:vAlign w:val="center"/>
                </w:tcPr>
                <w:p w14:paraId="42C50A4A">
                  <w:pPr>
                    <w:shd w:val="clear"/>
                    <w:topLinePunct/>
                    <w:adjustRightInd w:val="0"/>
                    <w:snapToGrid w:val="0"/>
                    <w:jc w:val="center"/>
                    <w:rPr>
                      <w:rFonts w:hint="eastAsia"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生产过程</w:t>
                  </w:r>
                </w:p>
              </w:tc>
              <w:tc>
                <w:tcPr>
                  <w:tcW w:w="396" w:type="pct"/>
                  <w:noWrap w:val="0"/>
                  <w:vAlign w:val="center"/>
                </w:tcPr>
                <w:p w14:paraId="61F83796">
                  <w:pPr>
                    <w:shd w:val="clear"/>
                    <w:topLinePunct/>
                    <w:adjustRightInd w:val="0"/>
                    <w:snapToGrid w:val="0"/>
                    <w:jc w:val="center"/>
                    <w:rPr>
                      <w:rFonts w:hint="eastAsia"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固态</w:t>
                  </w:r>
                </w:p>
              </w:tc>
              <w:tc>
                <w:tcPr>
                  <w:tcW w:w="396" w:type="pct"/>
                  <w:noWrap w:val="0"/>
                  <w:vAlign w:val="center"/>
                </w:tcPr>
                <w:p w14:paraId="7CA49144">
                  <w:pPr>
                    <w:shd w:val="clear"/>
                    <w:topLinePunct/>
                    <w:adjustRightInd w:val="0"/>
                    <w:snapToGrid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有毒有害物质</w:t>
                  </w:r>
                </w:p>
              </w:tc>
              <w:tc>
                <w:tcPr>
                  <w:tcW w:w="396" w:type="pct"/>
                  <w:noWrap w:val="0"/>
                  <w:vAlign w:val="center"/>
                </w:tcPr>
                <w:p w14:paraId="494CEE4A">
                  <w:pPr>
                    <w:shd w:val="clear"/>
                    <w:topLinePunct/>
                    <w:adjustRightInd w:val="0"/>
                    <w:snapToGrid w:val="0"/>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有毒有害物质</w:t>
                  </w:r>
                </w:p>
              </w:tc>
              <w:tc>
                <w:tcPr>
                  <w:tcW w:w="360" w:type="pct"/>
                  <w:noWrap w:val="0"/>
                  <w:vAlign w:val="center"/>
                </w:tcPr>
                <w:p w14:paraId="2780A183">
                  <w:pPr>
                    <w:widowControl/>
                    <w:shd w:val="clear"/>
                    <w:spacing w:line="240" w:lineRule="auto"/>
                    <w:jc w:val="center"/>
                    <w:rPr>
                      <w:rFonts w:hint="eastAsia" w:ascii="Times New Roman" w:hAnsi="Times New Roman" w:eastAsia="宋体"/>
                      <w:color w:val="000000" w:themeColor="text1"/>
                      <w:spacing w:val="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T，I</w:t>
                  </w:r>
                </w:p>
              </w:tc>
              <w:tc>
                <w:tcPr>
                  <w:tcW w:w="267" w:type="pct"/>
                  <w:vMerge w:val="continue"/>
                  <w:noWrap w:val="0"/>
                  <w:vAlign w:val="center"/>
                </w:tcPr>
                <w:p w14:paraId="37103BF1">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94" w:type="pct"/>
                  <w:vMerge w:val="continue"/>
                  <w:noWrap w:val="0"/>
                  <w:vAlign w:val="center"/>
                </w:tcPr>
                <w:p w14:paraId="335574AC">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43A4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5000" w:type="pct"/>
                  <w:gridSpan w:val="11"/>
                  <w:noWrap w:val="0"/>
                  <w:vAlign w:val="center"/>
                </w:tcPr>
                <w:p w14:paraId="08C9D13D">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①</w:t>
                  </w:r>
                  <w:r>
                    <w:rPr>
                      <w:rFonts w:hint="default" w:ascii="Times New Roman" w:hAnsi="Times New Roman" w:eastAsia="宋体" w:cs="Times New Roman"/>
                      <w:color w:val="000000" w:themeColor="text1"/>
                      <w:sz w:val="21"/>
                      <w:szCs w:val="21"/>
                      <w:highlight w:val="none"/>
                      <w14:textFill>
                        <w14:solidFill>
                          <w14:schemeClr w14:val="tx1"/>
                        </w14:solidFill>
                      </w14:textFill>
                    </w:rPr>
                    <w:t>危险特性包括腐蚀性（C）、毒性（T）、易燃性（I）、反应性（R）和感染性（In）。</w:t>
                  </w:r>
                </w:p>
              </w:tc>
            </w:tr>
          </w:tbl>
          <w:p w14:paraId="24FB0B95">
            <w:pPr>
              <w:pStyle w:val="84"/>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42" w:firstLineChars="200"/>
              <w:jc w:val="both"/>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固体废物临时贮存设施的管理要求</w:t>
            </w:r>
          </w:p>
          <w:p w14:paraId="667ABA8A">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default" w:ascii="Times New Roman" w:hAnsi="Times New Roman" w:eastAsia="宋体" w:cs="Times New Roman"/>
                <w:b/>
                <w:bCs/>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一般固体废物</w:t>
            </w:r>
            <w:r>
              <w:rPr>
                <w:rFonts w:hint="default" w:ascii="Times New Roman" w:hAnsi="Times New Roman" w:eastAsia="宋体" w:cs="Times New Roman"/>
                <w:b/>
                <w:bCs/>
                <w:color w:val="000000" w:themeColor="text1"/>
                <w:kern w:val="0"/>
                <w:sz w:val="21"/>
                <w:szCs w:val="21"/>
                <w:highlight w:val="none"/>
                <w:lang w:eastAsia="zh-CN"/>
                <w14:textFill>
                  <w14:solidFill>
                    <w14:schemeClr w14:val="tx1"/>
                  </w14:solidFill>
                </w14:textFill>
              </w:rPr>
              <w:t>：</w:t>
            </w:r>
          </w:p>
          <w:p w14:paraId="4FE9D22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项目设置一般固体废物的临时贮存区，需要做到以下几点：</w:t>
            </w:r>
          </w:p>
          <w:p w14:paraId="385B09C6">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①所选场址应符合当地城乡建设总体规划要求；</w:t>
            </w:r>
          </w:p>
          <w:p w14:paraId="49FECCC2">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②禁止选在自然保护区、风景名胜区和其他需要特别保护的区域；</w:t>
            </w:r>
          </w:p>
          <w:p w14:paraId="533C7FA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③贮存区的建设类型，必须与将要堆放的一般工业固体废物的类别相一致；</w:t>
            </w:r>
          </w:p>
          <w:p w14:paraId="6E472DE7">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④一般工业固体废物贮存区，禁止危险废物和生活垃圾混入；</w:t>
            </w:r>
          </w:p>
          <w:p w14:paraId="771F187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⑤贮存区使用单位，应建立检查维护制度；</w:t>
            </w:r>
          </w:p>
          <w:p w14:paraId="6C1108FE">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⑥贮存区的使用单位，应建立档案制度。应将入场的一般工业固体废物的种类和</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数</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量</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以及</w:t>
            </w:r>
            <w:r>
              <w:rPr>
                <w:rFonts w:hint="default" w:ascii="Times New Roman" w:hAnsi="Times New Roman" w:eastAsia="宋体" w:cs="Times New Roman"/>
                <w:color w:val="000000" w:themeColor="text1"/>
                <w:sz w:val="21"/>
                <w:szCs w:val="21"/>
                <w:highlight w:val="none"/>
                <w14:textFill>
                  <w14:solidFill>
                    <w14:schemeClr w14:val="tx1"/>
                  </w14:solidFill>
                </w14:textFill>
              </w:rPr>
              <w:t>下列资料，详细记录在案，长期保存，供随时查阅；</w:t>
            </w:r>
          </w:p>
          <w:p w14:paraId="5CA1DD3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⑦贮存区的地面与裙脚用坚固、防渗的材料建造，设置耐渗漏的地面，且表面无裂隙。</w:t>
            </w:r>
          </w:p>
          <w:p w14:paraId="4FF669E9">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14:textFill>
                  <w14:solidFill>
                    <w14:schemeClr w14:val="tx1"/>
                  </w14:solidFill>
                </w14:textFill>
              </w:rPr>
              <w:t>危险废物</w:t>
            </w:r>
            <w:r>
              <w:rPr>
                <w:rFonts w:hint="default" w:ascii="Times New Roman" w:hAnsi="Times New Roman" w:eastAsia="宋体" w:cs="Times New Roman"/>
                <w:b/>
                <w:bCs/>
                <w:color w:val="000000" w:themeColor="text1"/>
                <w:kern w:val="0"/>
                <w:sz w:val="24"/>
                <w:szCs w:val="24"/>
                <w:highlight w:val="none"/>
                <w:lang w:eastAsia="zh-CN"/>
                <w14:textFill>
                  <w14:solidFill>
                    <w14:schemeClr w14:val="tx1"/>
                  </w14:solidFill>
                </w14:textFill>
              </w:rPr>
              <w:t>：</w:t>
            </w:r>
          </w:p>
          <w:p w14:paraId="225F7DBD">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危险废物的厂内贮存措施需要严格执行《危险废物贮存污染控制标准》（GB</w:t>
            </w:r>
            <w:r>
              <w:rPr>
                <w:rFonts w:hint="default" w:ascii="Times New Roman" w:hAnsi="Times New Roman" w:eastAsia="宋体" w:cs="Times New Roman"/>
                <w:color w:val="000000" w:themeColor="text1"/>
                <w:sz w:val="21"/>
                <w:szCs w:val="21"/>
                <w:highlight w:val="none"/>
                <w14:textFill>
                  <w14:solidFill>
                    <w14:schemeClr w14:val="tx1"/>
                  </w14:solidFill>
                </w14:textFill>
              </w:rPr>
              <w:t>18597-20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23</w:t>
            </w:r>
            <w:r>
              <w:rPr>
                <w:rFonts w:hint="default" w:ascii="Times New Roman" w:hAnsi="Times New Roman" w:eastAsia="宋体" w:cs="Times New Roman"/>
                <w:color w:val="000000" w:themeColor="text1"/>
                <w:sz w:val="21"/>
                <w:szCs w:val="21"/>
                <w:highlight w:val="none"/>
                <w14:textFill>
                  <w14:solidFill>
                    <w14:schemeClr w14:val="tx1"/>
                  </w14:solidFill>
                </w14:textFill>
              </w:rPr>
              <w:t>）的有关标准，项目设置</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危险废物贮存场所</w:t>
            </w:r>
            <w:r>
              <w:rPr>
                <w:rFonts w:hint="default" w:ascii="Times New Roman" w:hAnsi="Times New Roman" w:eastAsia="宋体" w:cs="Times New Roman"/>
                <w:color w:val="000000" w:themeColor="text1"/>
                <w:sz w:val="21"/>
                <w:szCs w:val="21"/>
                <w:highlight w:val="none"/>
                <w14:textFill>
                  <w14:solidFill>
                    <w14:schemeClr w14:val="tx1"/>
                  </w14:solidFill>
                </w14:textFill>
              </w:rPr>
              <w:t>，需要做到以下几点：</w:t>
            </w:r>
          </w:p>
          <w:p w14:paraId="43120364">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①项目</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危险废物贮存场所</w:t>
            </w:r>
            <w:r>
              <w:rPr>
                <w:rFonts w:hint="default" w:ascii="Times New Roman" w:hAnsi="Times New Roman" w:eastAsia="宋体" w:cs="Times New Roman"/>
                <w:color w:val="000000" w:themeColor="text1"/>
                <w:sz w:val="21"/>
                <w:szCs w:val="21"/>
                <w:highlight w:val="none"/>
                <w14:textFill>
                  <w14:solidFill>
                    <w14:schemeClr w14:val="tx1"/>
                  </w14:solidFill>
                </w14:textFill>
              </w:rPr>
              <w:t>对各类危险废物的堆存要求较严，</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危险废物贮存场所</w:t>
            </w:r>
            <w:r>
              <w:rPr>
                <w:rFonts w:hint="default" w:ascii="Times New Roman" w:hAnsi="Times New Roman" w:eastAsia="宋体" w:cs="Times New Roman"/>
                <w:color w:val="000000" w:themeColor="text1"/>
                <w:sz w:val="21"/>
                <w:szCs w:val="21"/>
                <w:highlight w:val="none"/>
                <w14:textFill>
                  <w14:solidFill>
                    <w14:schemeClr w14:val="tx1"/>
                  </w14:solidFill>
                </w14:textFill>
              </w:rPr>
              <w:t>应根据不同性质的危废进行分区堆放储存；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不同</w:t>
            </w: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危险废物可集中堆放在某区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域</w:t>
            </w:r>
            <w:r>
              <w:rPr>
                <w:rFonts w:hint="default" w:ascii="Times New Roman" w:hAnsi="Times New Roman" w:eastAsia="宋体" w:cs="Times New Roman"/>
                <w:color w:val="000000" w:themeColor="text1"/>
                <w:sz w:val="21"/>
                <w:szCs w:val="21"/>
                <w:highlight w:val="none"/>
                <w14:textFill>
                  <w14:solidFill>
                    <w14:schemeClr w14:val="tx1"/>
                  </w14:solidFill>
                </w14:textFill>
              </w:rPr>
              <w:t>，但必须用标签标明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各区域</w:t>
            </w: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危险废物名称，且不相容废物不得混合装</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在同一容器内</w:t>
            </w:r>
            <w:r>
              <w:rPr>
                <w:rFonts w:hint="default" w:ascii="Times New Roman" w:hAnsi="Times New Roman" w:eastAsia="宋体" w:cs="Times New Roman"/>
                <w:color w:val="000000" w:themeColor="text1"/>
                <w:sz w:val="21"/>
                <w:szCs w:val="21"/>
                <w:highlight w:val="none"/>
                <w14:textFill>
                  <w14:solidFill>
                    <w14:schemeClr w14:val="tx1"/>
                  </w14:solidFill>
                </w14:textFill>
              </w:rPr>
              <w:t>；废包装单独堆放，也需用指示牌标明。各分区之间须有明确的界限，并做好防渗、消防等防范措施，储存区必须严格按照《危险废物贮存污染控制标准》（GB18597-20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23</w:t>
            </w:r>
            <w:r>
              <w:rPr>
                <w:rFonts w:hint="default" w:ascii="Times New Roman" w:hAnsi="Times New Roman" w:eastAsia="宋体" w:cs="Times New Roman"/>
                <w:color w:val="000000" w:themeColor="text1"/>
                <w:sz w:val="21"/>
                <w:szCs w:val="21"/>
                <w:highlight w:val="none"/>
                <w14:textFill>
                  <w14:solidFill>
                    <w14:schemeClr w14:val="tx1"/>
                  </w14:solidFill>
                </w14:textFill>
              </w:rPr>
              <w:t>）建设和维护使用；</w:t>
            </w:r>
          </w:p>
          <w:p w14:paraId="4E2681C3">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②在常温、常压下易燃、易爆及排出有毒气体的危险废物必须进行预处理，使之稳定后贮存；</w:t>
            </w:r>
          </w:p>
          <w:p w14:paraId="3EDBE7B4">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③应使用符合标准的容器装危险废物；</w:t>
            </w:r>
          </w:p>
          <w:p w14:paraId="46E94ECF">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④不相容危险废物必须分开存放，并设置隔离带；</w:t>
            </w:r>
          </w:p>
          <w:p w14:paraId="00D75572">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⑤危险废物贮存前应进行检查，并注册登记，做好记录，记录上需注明危险废物的名称、来源、数量、入库日期、存放位置、出库日期及去向；</w:t>
            </w:r>
          </w:p>
          <w:p w14:paraId="6AC340F2">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⑥建立档案管理制度，长期保存供随时查阅；</w:t>
            </w:r>
          </w:p>
          <w:p w14:paraId="2EB76713">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⑦必须定期对贮存危险废物的容器及设施进行检查，发现破损应及时采取措施清理更换，并做好记录；</w:t>
            </w:r>
          </w:p>
          <w:p w14:paraId="61F40493">
            <w:pPr>
              <w:shd w:val="clear"/>
              <w:spacing w:line="360" w:lineRule="auto"/>
              <w:ind w:firstLine="420" w:firstLineChars="200"/>
              <w:jc w:val="both"/>
              <w:rPr>
                <w:rFonts w:hint="default" w:ascii="Times New Roman" w:hAnsi="Times New Roman" w:eastAsia="宋体" w:cs="Times New Roman"/>
                <w:b/>
                <w:bCs w:val="0"/>
                <w:color w:val="000000" w:themeColor="text1"/>
                <w:spacing w:val="-1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⑧建设单位必须严格遵守有关危险废物有关储存的规定，建立一套完整的仓库管理体制</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p w14:paraId="389D3A7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Chars="0"/>
              <w:jc w:val="center"/>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表</w:t>
            </w:r>
            <w:r>
              <w:rPr>
                <w:rFonts w:hint="eastAsia" w:cs="Times New Roman"/>
                <w:b/>
                <w:bCs w:val="0"/>
                <w:color w:val="000000" w:themeColor="text1"/>
                <w:spacing w:val="-10"/>
                <w:sz w:val="24"/>
                <w:szCs w:val="24"/>
                <w:highlight w:val="none"/>
                <w:lang w:val="en-US" w:eastAsia="zh-CN"/>
                <w14:textFill>
                  <w14:solidFill>
                    <w14:schemeClr w14:val="tx1"/>
                  </w14:solidFill>
                </w14:textFill>
              </w:rPr>
              <w:t>44</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建设项目危险废物贮存场所（设施）基本情况表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128"/>
              <w:gridCol w:w="916"/>
              <w:gridCol w:w="1252"/>
              <w:gridCol w:w="510"/>
              <w:gridCol w:w="469"/>
              <w:gridCol w:w="1038"/>
              <w:gridCol w:w="1016"/>
              <w:gridCol w:w="916"/>
              <w:gridCol w:w="469"/>
            </w:tblGrid>
            <w:tr w14:paraId="5556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pct"/>
                  <w:noWrap w:val="0"/>
                  <w:vAlign w:val="center"/>
                </w:tcPr>
                <w:p w14:paraId="7D718135">
                  <w:pPr>
                    <w:pStyle w:val="71"/>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贮存场所名称</w:t>
                  </w:r>
                </w:p>
              </w:tc>
              <w:tc>
                <w:tcPr>
                  <w:tcW w:w="664" w:type="pct"/>
                  <w:noWrap w:val="0"/>
                  <w:vAlign w:val="center"/>
                </w:tcPr>
                <w:p w14:paraId="17E0B453">
                  <w:pPr>
                    <w:pStyle w:val="71"/>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危险废物名称</w:t>
                  </w:r>
                </w:p>
              </w:tc>
              <w:tc>
                <w:tcPr>
                  <w:tcW w:w="539" w:type="pct"/>
                  <w:noWrap w:val="0"/>
                  <w:vAlign w:val="center"/>
                </w:tcPr>
                <w:p w14:paraId="3D54F2EB">
                  <w:pPr>
                    <w:pStyle w:val="71"/>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lang w:bidi="en-US"/>
                      <w14:textFill>
                        <w14:solidFill>
                          <w14:schemeClr w14:val="tx1"/>
                        </w14:solidFill>
                      </w14:textFill>
                    </w:rPr>
                    <w:t>危险废物类别</w:t>
                  </w:r>
                </w:p>
              </w:tc>
              <w:tc>
                <w:tcPr>
                  <w:tcW w:w="737" w:type="pct"/>
                  <w:noWrap w:val="0"/>
                  <w:vAlign w:val="center"/>
                </w:tcPr>
                <w:p w14:paraId="4D661C61">
                  <w:pPr>
                    <w:pStyle w:val="71"/>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危险废物代码</w:t>
                  </w:r>
                </w:p>
              </w:tc>
              <w:tc>
                <w:tcPr>
                  <w:tcW w:w="300" w:type="pct"/>
                  <w:noWrap w:val="0"/>
                  <w:vAlign w:val="center"/>
                </w:tcPr>
                <w:p w14:paraId="11C1043A">
                  <w:pPr>
                    <w:pStyle w:val="71"/>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位置</w:t>
                  </w:r>
                </w:p>
              </w:tc>
              <w:tc>
                <w:tcPr>
                  <w:tcW w:w="276" w:type="pct"/>
                  <w:noWrap w:val="0"/>
                  <w:vAlign w:val="center"/>
                </w:tcPr>
                <w:p w14:paraId="796252E1">
                  <w:pPr>
                    <w:pStyle w:val="71"/>
                    <w:shd w:val="clear"/>
                    <w:spacing w:line="240" w:lineRule="auto"/>
                    <w:jc w:val="center"/>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贮存</w:t>
                  </w:r>
                </w:p>
                <w:p w14:paraId="5836906E">
                  <w:pPr>
                    <w:pStyle w:val="71"/>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方式</w:t>
                  </w:r>
                </w:p>
              </w:tc>
              <w:tc>
                <w:tcPr>
                  <w:tcW w:w="611" w:type="pct"/>
                  <w:noWrap w:val="0"/>
                  <w:vAlign w:val="center"/>
                </w:tcPr>
                <w:p w14:paraId="7D2AB9C8">
                  <w:pPr>
                    <w:pStyle w:val="71"/>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贮存能力</w:t>
                  </w: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t/a</w:t>
                  </w: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w:t>
                  </w:r>
                </w:p>
              </w:tc>
              <w:tc>
                <w:tcPr>
                  <w:tcW w:w="598" w:type="pct"/>
                  <w:noWrap w:val="0"/>
                  <w:vAlign w:val="center"/>
                </w:tcPr>
                <w:p w14:paraId="5FAD89E2">
                  <w:pPr>
                    <w:pStyle w:val="71"/>
                    <w:shd w:val="clear"/>
                    <w:spacing w:line="240" w:lineRule="auto"/>
                    <w:jc w:val="cente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占地面积（㎡）</w:t>
                  </w:r>
                </w:p>
              </w:tc>
              <w:tc>
                <w:tcPr>
                  <w:tcW w:w="539" w:type="pct"/>
                  <w:noWrap w:val="0"/>
                  <w:vAlign w:val="center"/>
                </w:tcPr>
                <w:p w14:paraId="4004894F">
                  <w:pPr>
                    <w:pStyle w:val="71"/>
                    <w:shd w:val="clear"/>
                    <w:spacing w:line="240" w:lineRule="auto"/>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color w:val="000000" w:themeColor="text1"/>
                      <w:sz w:val="21"/>
                      <w:szCs w:val="21"/>
                      <w:highlight w:val="none"/>
                      <w:lang w:val="en-US" w:eastAsia="zh-CN"/>
                      <w14:textFill>
                        <w14:solidFill>
                          <w14:schemeClr w14:val="tx1"/>
                        </w14:solidFill>
                      </w14:textFill>
                    </w:rPr>
                    <w:t>总占地面积(㎡）</w:t>
                  </w:r>
                </w:p>
              </w:tc>
              <w:tc>
                <w:tcPr>
                  <w:tcW w:w="276" w:type="pct"/>
                  <w:noWrap w:val="0"/>
                  <w:vAlign w:val="center"/>
                </w:tcPr>
                <w:p w14:paraId="41DFA3A8">
                  <w:pPr>
                    <w:pStyle w:val="71"/>
                    <w:shd w:val="clear"/>
                    <w:spacing w:line="240" w:lineRule="auto"/>
                    <w:jc w:val="center"/>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贮存</w:t>
                  </w:r>
                </w:p>
                <w:p w14:paraId="32144BED">
                  <w:pPr>
                    <w:pStyle w:val="71"/>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周期</w:t>
                  </w:r>
                </w:p>
              </w:tc>
            </w:tr>
            <w:tr w14:paraId="0F86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456" w:type="pct"/>
                  <w:vMerge w:val="restart"/>
                  <w:noWrap w:val="0"/>
                  <w:vAlign w:val="center"/>
                </w:tcPr>
                <w:p w14:paraId="6C35121F">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en-US"/>
                      <w14:textFill>
                        <w14:solidFill>
                          <w14:schemeClr w14:val="tx1"/>
                        </w14:solidFill>
                      </w14:textFill>
                    </w:rPr>
                    <w:t>危险废物间</w:t>
                  </w:r>
                </w:p>
              </w:tc>
              <w:tc>
                <w:tcPr>
                  <w:tcW w:w="664" w:type="pct"/>
                  <w:noWrap w:val="0"/>
                  <w:vAlign w:val="center"/>
                </w:tcPr>
                <w:p w14:paraId="120F4662">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w:t>
                  </w:r>
                  <w:r>
                    <w:rPr>
                      <w:rFonts w:hint="eastAsia" w:cs="Times New Roman"/>
                      <w:color w:val="000000" w:themeColor="text1"/>
                      <w:sz w:val="21"/>
                      <w:szCs w:val="21"/>
                      <w:highlight w:val="none"/>
                      <w:lang w:val="en-US" w:eastAsia="zh-CN"/>
                      <w14:textFill>
                        <w14:solidFill>
                          <w14:schemeClr w14:val="tx1"/>
                        </w14:solidFill>
                      </w14:textFill>
                    </w:rPr>
                    <w:t>机油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及其包装物</w:t>
                  </w:r>
                </w:p>
              </w:tc>
              <w:tc>
                <w:tcPr>
                  <w:tcW w:w="539" w:type="pct"/>
                  <w:noWrap w:val="0"/>
                  <w:vAlign w:val="center"/>
                </w:tcPr>
                <w:p w14:paraId="5C79BD2F">
                  <w:pPr>
                    <w:widowControl/>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HW08</w:t>
                  </w:r>
                </w:p>
              </w:tc>
              <w:tc>
                <w:tcPr>
                  <w:tcW w:w="737" w:type="pct"/>
                  <w:noWrap w:val="0"/>
                  <w:vAlign w:val="center"/>
                </w:tcPr>
                <w:p w14:paraId="67514593">
                  <w:pPr>
                    <w:widowControl/>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900-249-08</w:t>
                  </w:r>
                </w:p>
              </w:tc>
              <w:tc>
                <w:tcPr>
                  <w:tcW w:w="300" w:type="pct"/>
                  <w:vMerge w:val="restart"/>
                  <w:noWrap w:val="0"/>
                  <w:vAlign w:val="center"/>
                </w:tcPr>
                <w:p w14:paraId="3AF67654">
                  <w:pPr>
                    <w:pStyle w:val="81"/>
                    <w:numPr>
                      <w:ilvl w:val="0"/>
                      <w:numId w:val="0"/>
                    </w:numPr>
                    <w:shd w:val="clear"/>
                    <w:spacing w:before="0" w:beforeLines="0" w:line="240" w:lineRule="auto"/>
                    <w:ind w:left="0" w:leftChars="0" w:firstLine="0" w:firstLineChars="0"/>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en-US"/>
                      <w14:textFill>
                        <w14:solidFill>
                          <w14:schemeClr w14:val="tx1"/>
                        </w14:solidFill>
                      </w14:textFill>
                    </w:rPr>
                    <w:t>车间内</w:t>
                  </w:r>
                </w:p>
              </w:tc>
              <w:tc>
                <w:tcPr>
                  <w:tcW w:w="276" w:type="pct"/>
                  <w:noWrap w:val="0"/>
                  <w:vAlign w:val="center"/>
                </w:tcPr>
                <w:p w14:paraId="72DD8A65">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t>桶装</w:t>
                  </w:r>
                </w:p>
              </w:tc>
              <w:tc>
                <w:tcPr>
                  <w:tcW w:w="611" w:type="pct"/>
                  <w:noWrap w:val="0"/>
                  <w:vAlign w:val="center"/>
                </w:tcPr>
                <w:p w14:paraId="439B4478">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0.11</w:t>
                  </w:r>
                </w:p>
              </w:tc>
              <w:tc>
                <w:tcPr>
                  <w:tcW w:w="598" w:type="pct"/>
                  <w:noWrap w:val="0"/>
                  <w:vAlign w:val="center"/>
                </w:tcPr>
                <w:p w14:paraId="7A556390">
                  <w:pPr>
                    <w:pStyle w:val="81"/>
                    <w:numPr>
                      <w:ilvl w:val="0"/>
                      <w:numId w:val="0"/>
                    </w:numPr>
                    <w:shd w:val="clear"/>
                    <w:spacing w:before="0" w:beforeLines="0" w:line="240" w:lineRule="auto"/>
                    <w:ind w:left="0" w:leftChars="0" w:firstLine="0" w:firstLineChars="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w:t>
                  </w:r>
                </w:p>
              </w:tc>
              <w:tc>
                <w:tcPr>
                  <w:tcW w:w="539" w:type="pct"/>
                  <w:vMerge w:val="restart"/>
                  <w:noWrap w:val="0"/>
                  <w:vAlign w:val="center"/>
                </w:tcPr>
                <w:p w14:paraId="53DC49E9">
                  <w:pPr>
                    <w:pStyle w:val="81"/>
                    <w:numPr>
                      <w:ilvl w:val="0"/>
                      <w:numId w:val="0"/>
                    </w:numPr>
                    <w:shd w:val="clear"/>
                    <w:spacing w:before="0" w:beforeLines="0" w:line="240" w:lineRule="auto"/>
                    <w:ind w:left="0" w:leftChars="0" w:firstLine="0" w:firstLineChars="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15</w:t>
                  </w:r>
                </w:p>
              </w:tc>
              <w:tc>
                <w:tcPr>
                  <w:tcW w:w="276" w:type="pct"/>
                  <w:noWrap w:val="0"/>
                  <w:vAlign w:val="center"/>
                </w:tcPr>
                <w:p w14:paraId="189AF5E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1年</w:t>
                  </w:r>
                </w:p>
              </w:tc>
            </w:tr>
            <w:tr w14:paraId="1193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pct"/>
                  <w:vMerge w:val="continue"/>
                  <w:noWrap w:val="0"/>
                  <w:vAlign w:val="center"/>
                </w:tcPr>
                <w:p w14:paraId="5CC81AB5">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both"/>
                    <w:textAlignment w:val="auto"/>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p>
              </w:tc>
              <w:tc>
                <w:tcPr>
                  <w:tcW w:w="664" w:type="pct"/>
                  <w:noWrap w:val="0"/>
                  <w:vAlign w:val="center"/>
                </w:tcPr>
                <w:p w14:paraId="24748A29">
                  <w:pPr>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含油废抹布及废手套</w:t>
                  </w:r>
                </w:p>
              </w:tc>
              <w:tc>
                <w:tcPr>
                  <w:tcW w:w="539" w:type="pct"/>
                  <w:noWrap w:val="0"/>
                  <w:vAlign w:val="center"/>
                </w:tcPr>
                <w:p w14:paraId="0F25E619">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HW</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49</w:t>
                  </w:r>
                </w:p>
              </w:tc>
              <w:tc>
                <w:tcPr>
                  <w:tcW w:w="737" w:type="pct"/>
                  <w:noWrap w:val="0"/>
                  <w:vAlign w:val="center"/>
                </w:tcPr>
                <w:p w14:paraId="62ED4A83">
                  <w:pPr>
                    <w:widowControl/>
                    <w:shd w:val="clear"/>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900-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041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49</w:t>
                  </w:r>
                </w:p>
              </w:tc>
              <w:tc>
                <w:tcPr>
                  <w:tcW w:w="300" w:type="pct"/>
                  <w:vMerge w:val="continue"/>
                  <w:noWrap w:val="0"/>
                  <w:vAlign w:val="center"/>
                </w:tcPr>
                <w:p w14:paraId="2F61FBD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center"/>
                </w:tcPr>
                <w:p w14:paraId="6D0A5B5A">
                  <w:pPr>
                    <w:shd w:val="clear"/>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t>桶装</w:t>
                  </w:r>
                </w:p>
              </w:tc>
              <w:tc>
                <w:tcPr>
                  <w:tcW w:w="611" w:type="pct"/>
                  <w:noWrap w:val="0"/>
                  <w:vAlign w:val="center"/>
                </w:tcPr>
                <w:p w14:paraId="37F2C6B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0.031</w:t>
                  </w:r>
                </w:p>
              </w:tc>
              <w:tc>
                <w:tcPr>
                  <w:tcW w:w="598" w:type="pct"/>
                  <w:noWrap w:val="0"/>
                  <w:vAlign w:val="center"/>
                </w:tcPr>
                <w:p w14:paraId="241D566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pacing w:val="-10"/>
                      <w:sz w:val="21"/>
                      <w:szCs w:val="21"/>
                      <w:highlight w:val="none"/>
                      <w:vertAlign w:val="baseline"/>
                      <w:lang w:val="en-US" w:eastAsia="zh-CN"/>
                      <w14:textFill>
                        <w14:solidFill>
                          <w14:schemeClr w14:val="tx1"/>
                        </w14:solidFill>
                      </w14:textFill>
                    </w:rPr>
                    <w:t>1</w:t>
                  </w:r>
                </w:p>
              </w:tc>
              <w:tc>
                <w:tcPr>
                  <w:tcW w:w="539" w:type="pct"/>
                  <w:vMerge w:val="continue"/>
                  <w:noWrap w:val="0"/>
                  <w:vAlign w:val="top"/>
                </w:tcPr>
                <w:p w14:paraId="2FE3925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top"/>
                </w:tcPr>
                <w:p w14:paraId="22463FBD">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both"/>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半年</w:t>
                  </w:r>
                </w:p>
              </w:tc>
            </w:tr>
            <w:tr w14:paraId="40E0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pct"/>
                  <w:vMerge w:val="continue"/>
                  <w:noWrap w:val="0"/>
                  <w:vAlign w:val="center"/>
                </w:tcPr>
                <w:p w14:paraId="17ADB418">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p>
              </w:tc>
              <w:tc>
                <w:tcPr>
                  <w:tcW w:w="664" w:type="pct"/>
                  <w:noWrap w:val="0"/>
                  <w:vAlign w:val="center"/>
                </w:tcPr>
                <w:p w14:paraId="38A8AE48">
                  <w:pPr>
                    <w:widowControl/>
                    <w:shd w:val="clear"/>
                    <w:spacing w:line="240" w:lineRule="auto"/>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废切削液</w:t>
                  </w:r>
                </w:p>
              </w:tc>
              <w:tc>
                <w:tcPr>
                  <w:tcW w:w="539" w:type="pct"/>
                  <w:noWrap w:val="0"/>
                  <w:vAlign w:val="center"/>
                </w:tcPr>
                <w:p w14:paraId="7E5C76CE">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kern w:val="21"/>
                      <w:position w:val="0"/>
                      <w:sz w:val="21"/>
                      <w:szCs w:val="21"/>
                      <w:highlight w:val="none"/>
                      <w14:textFill>
                        <w14:solidFill>
                          <w14:schemeClr w14:val="tx1"/>
                        </w14:solidFill>
                      </w14:textFill>
                    </w:rPr>
                    <w:t>HW09</w:t>
                  </w:r>
                </w:p>
              </w:tc>
              <w:tc>
                <w:tcPr>
                  <w:tcW w:w="737" w:type="pct"/>
                  <w:noWrap w:val="0"/>
                  <w:vAlign w:val="center"/>
                </w:tcPr>
                <w:p w14:paraId="5AFA7DE1">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kern w:val="21"/>
                      <w:position w:val="0"/>
                      <w:sz w:val="21"/>
                      <w:szCs w:val="21"/>
                      <w:highlight w:val="none"/>
                      <w14:textFill>
                        <w14:solidFill>
                          <w14:schemeClr w14:val="tx1"/>
                        </w14:solidFill>
                      </w14:textFill>
                    </w:rPr>
                    <w:t>900-006-09</w:t>
                  </w:r>
                </w:p>
              </w:tc>
              <w:tc>
                <w:tcPr>
                  <w:tcW w:w="300" w:type="pct"/>
                  <w:vMerge w:val="continue"/>
                  <w:noWrap w:val="0"/>
                  <w:vAlign w:val="center"/>
                </w:tcPr>
                <w:p w14:paraId="455B410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center"/>
                </w:tcPr>
                <w:p w14:paraId="20298832">
                  <w:pPr>
                    <w:shd w:val="clear"/>
                    <w:spacing w:line="240" w:lineRule="auto"/>
                    <w:jc w:val="cente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t>桶装</w:t>
                  </w:r>
                </w:p>
              </w:tc>
              <w:tc>
                <w:tcPr>
                  <w:tcW w:w="611" w:type="pct"/>
                  <w:noWrap w:val="0"/>
                  <w:vAlign w:val="center"/>
                </w:tcPr>
                <w:p w14:paraId="1623F547">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1.35</w:t>
                  </w:r>
                </w:p>
              </w:tc>
              <w:tc>
                <w:tcPr>
                  <w:tcW w:w="598" w:type="pct"/>
                  <w:noWrap w:val="0"/>
                  <w:vAlign w:val="center"/>
                </w:tcPr>
                <w:p w14:paraId="7719BAC6">
                  <w:pPr>
                    <w:shd w:val="clear"/>
                    <w:topLinePunct/>
                    <w:adjustRightInd w:val="0"/>
                    <w:snapToGrid w:val="0"/>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w:t>
                  </w:r>
                </w:p>
              </w:tc>
              <w:tc>
                <w:tcPr>
                  <w:tcW w:w="539" w:type="pct"/>
                  <w:vMerge w:val="continue"/>
                  <w:noWrap w:val="0"/>
                  <w:vAlign w:val="center"/>
                </w:tcPr>
                <w:p w14:paraId="2A6DD15A">
                  <w:pPr>
                    <w:shd w:val="clear"/>
                    <w:topLinePunct/>
                    <w:adjustRightInd w:val="0"/>
                    <w:snapToGrid w:val="0"/>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276" w:type="pct"/>
                  <w:noWrap w:val="0"/>
                  <w:vAlign w:val="center"/>
                </w:tcPr>
                <w:p w14:paraId="42F8344F">
                  <w:pPr>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半年</w:t>
                  </w:r>
                </w:p>
              </w:tc>
            </w:tr>
            <w:tr w14:paraId="232C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pct"/>
                  <w:vMerge w:val="continue"/>
                  <w:noWrap w:val="0"/>
                  <w:vAlign w:val="center"/>
                </w:tcPr>
                <w:p w14:paraId="78AFE4D6">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p>
              </w:tc>
              <w:tc>
                <w:tcPr>
                  <w:tcW w:w="664" w:type="pct"/>
                  <w:noWrap w:val="0"/>
                  <w:vAlign w:val="center"/>
                </w:tcPr>
                <w:p w14:paraId="18CD6FAB">
                  <w:pPr>
                    <w:widowControl/>
                    <w:shd w:val="clear"/>
                    <w:spacing w:line="240" w:lineRule="auto"/>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废包装物</w:t>
                  </w:r>
                </w:p>
              </w:tc>
              <w:tc>
                <w:tcPr>
                  <w:tcW w:w="539" w:type="pct"/>
                  <w:noWrap w:val="0"/>
                  <w:vAlign w:val="center"/>
                </w:tcPr>
                <w:p w14:paraId="6636617B">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kern w:val="21"/>
                      <w:position w:val="0"/>
                      <w:sz w:val="21"/>
                      <w:szCs w:val="21"/>
                      <w:highlight w:val="none"/>
                      <w14:textFill>
                        <w14:solidFill>
                          <w14:schemeClr w14:val="tx1"/>
                        </w14:solidFill>
                      </w14:textFill>
                    </w:rPr>
                    <w:t>HW49</w:t>
                  </w:r>
                </w:p>
              </w:tc>
              <w:tc>
                <w:tcPr>
                  <w:tcW w:w="737" w:type="pct"/>
                  <w:noWrap w:val="0"/>
                  <w:vAlign w:val="center"/>
                </w:tcPr>
                <w:p w14:paraId="1CBEDD22">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kern w:val="21"/>
                      <w:position w:val="0"/>
                      <w:sz w:val="21"/>
                      <w:szCs w:val="21"/>
                      <w:highlight w:val="none"/>
                      <w14:textFill>
                        <w14:solidFill>
                          <w14:schemeClr w14:val="tx1"/>
                        </w14:solidFill>
                      </w14:textFill>
                    </w:rPr>
                    <w:t>900-041-49</w:t>
                  </w:r>
                </w:p>
              </w:tc>
              <w:tc>
                <w:tcPr>
                  <w:tcW w:w="300" w:type="pct"/>
                  <w:vMerge w:val="continue"/>
                  <w:noWrap w:val="0"/>
                  <w:vAlign w:val="center"/>
                </w:tcPr>
                <w:p w14:paraId="49BD08F3">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center"/>
                </w:tcPr>
                <w:p w14:paraId="058D9250">
                  <w:pPr>
                    <w:shd w:val="clear"/>
                    <w:spacing w:line="240" w:lineRule="auto"/>
                    <w:jc w:val="cente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t>桶装</w:t>
                  </w:r>
                </w:p>
              </w:tc>
              <w:tc>
                <w:tcPr>
                  <w:tcW w:w="611" w:type="pct"/>
                  <w:noWrap w:val="0"/>
                  <w:vAlign w:val="center"/>
                </w:tcPr>
                <w:p w14:paraId="12E6F947">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0.081</w:t>
                  </w:r>
                </w:p>
              </w:tc>
              <w:tc>
                <w:tcPr>
                  <w:tcW w:w="598" w:type="pct"/>
                  <w:noWrap w:val="0"/>
                  <w:vAlign w:val="center"/>
                </w:tcPr>
                <w:p w14:paraId="2761AA7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pacing w:val="-10"/>
                      <w:sz w:val="21"/>
                      <w:szCs w:val="21"/>
                      <w:highlight w:val="none"/>
                      <w:vertAlign w:val="baseline"/>
                      <w:lang w:val="en-US" w:eastAsia="zh-CN"/>
                      <w14:textFill>
                        <w14:solidFill>
                          <w14:schemeClr w14:val="tx1"/>
                        </w14:solidFill>
                      </w14:textFill>
                    </w:rPr>
                    <w:t>1</w:t>
                  </w:r>
                </w:p>
              </w:tc>
              <w:tc>
                <w:tcPr>
                  <w:tcW w:w="539" w:type="pct"/>
                  <w:vMerge w:val="continue"/>
                  <w:noWrap w:val="0"/>
                  <w:vAlign w:val="top"/>
                </w:tcPr>
                <w:p w14:paraId="6D5C2D6F">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top"/>
                </w:tcPr>
                <w:p w14:paraId="69176758">
                  <w:pPr>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both"/>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3个月</w:t>
                  </w:r>
                </w:p>
              </w:tc>
            </w:tr>
            <w:tr w14:paraId="58E2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pct"/>
                  <w:vMerge w:val="continue"/>
                  <w:noWrap w:val="0"/>
                  <w:vAlign w:val="center"/>
                </w:tcPr>
                <w:p w14:paraId="3F2AB4BA">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p>
              </w:tc>
              <w:tc>
                <w:tcPr>
                  <w:tcW w:w="664" w:type="pct"/>
                  <w:noWrap w:val="0"/>
                  <w:vAlign w:val="center"/>
                </w:tcPr>
                <w:p w14:paraId="5FE8E114">
                  <w:pPr>
                    <w:shd w:val="clear"/>
                    <w:spacing w:line="240" w:lineRule="auto"/>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火花</w:t>
                  </w:r>
                  <w:r>
                    <w:rPr>
                      <w:rFonts w:hint="eastAsia" w:cs="Times New Roman"/>
                      <w:color w:val="000000" w:themeColor="text1"/>
                      <w:sz w:val="21"/>
                      <w:szCs w:val="21"/>
                      <w:highlight w:val="none"/>
                      <w:lang w:val="en-US" w:eastAsia="zh-CN"/>
                      <w14:textFill>
                        <w14:solidFill>
                          <w14:schemeClr w14:val="tx1"/>
                        </w14:solidFill>
                      </w14:textFill>
                    </w:rPr>
                    <w:t>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及其包装物</w:t>
                  </w:r>
                </w:p>
              </w:tc>
              <w:tc>
                <w:tcPr>
                  <w:tcW w:w="539" w:type="pct"/>
                  <w:noWrap w:val="0"/>
                  <w:vAlign w:val="center"/>
                </w:tcPr>
                <w:p w14:paraId="069D4AFE">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HW08</w:t>
                  </w:r>
                </w:p>
              </w:tc>
              <w:tc>
                <w:tcPr>
                  <w:tcW w:w="737" w:type="pct"/>
                  <w:noWrap w:val="0"/>
                  <w:vAlign w:val="center"/>
                </w:tcPr>
                <w:p w14:paraId="1ABDF204">
                  <w:pPr>
                    <w:widowControl/>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900-249-08</w:t>
                  </w:r>
                </w:p>
              </w:tc>
              <w:tc>
                <w:tcPr>
                  <w:tcW w:w="300" w:type="pct"/>
                  <w:vMerge w:val="continue"/>
                  <w:noWrap w:val="0"/>
                  <w:vAlign w:val="center"/>
                </w:tcPr>
                <w:p w14:paraId="46005491">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center"/>
                </w:tcPr>
                <w:p w14:paraId="1F274DEB">
                  <w:pPr>
                    <w:shd w:val="clear"/>
                    <w:spacing w:line="240" w:lineRule="auto"/>
                    <w:jc w:val="cente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t>桶装</w:t>
                  </w:r>
                </w:p>
              </w:tc>
              <w:tc>
                <w:tcPr>
                  <w:tcW w:w="611" w:type="pct"/>
                  <w:noWrap w:val="0"/>
                  <w:vAlign w:val="center"/>
                </w:tcPr>
                <w:p w14:paraId="732013B8">
                  <w:pPr>
                    <w:shd w:val="clear"/>
                    <w:topLinePunct/>
                    <w:adjustRightInd w:val="0"/>
                    <w:snapToGrid w:val="0"/>
                    <w:spacing w:line="240" w:lineRule="auto"/>
                    <w:jc w:val="cente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0.059</w:t>
                  </w:r>
                </w:p>
              </w:tc>
              <w:tc>
                <w:tcPr>
                  <w:tcW w:w="598" w:type="pct"/>
                  <w:noWrap w:val="0"/>
                  <w:vAlign w:val="center"/>
                </w:tcPr>
                <w:p w14:paraId="12133DF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pacing w:val="-10"/>
                      <w:sz w:val="21"/>
                      <w:szCs w:val="21"/>
                      <w:highlight w:val="none"/>
                      <w:vertAlign w:val="baseline"/>
                      <w:lang w:val="en-US" w:eastAsia="zh-CN"/>
                      <w14:textFill>
                        <w14:solidFill>
                          <w14:schemeClr w14:val="tx1"/>
                        </w14:solidFill>
                      </w14:textFill>
                    </w:rPr>
                    <w:t>1</w:t>
                  </w:r>
                </w:p>
              </w:tc>
              <w:tc>
                <w:tcPr>
                  <w:tcW w:w="539" w:type="pct"/>
                  <w:vMerge w:val="continue"/>
                  <w:noWrap w:val="0"/>
                  <w:vAlign w:val="top"/>
                </w:tcPr>
                <w:p w14:paraId="45D6EF9D">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top"/>
                </w:tcPr>
                <w:p w14:paraId="66B30378">
                  <w:pPr>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both"/>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半年</w:t>
                  </w:r>
                </w:p>
              </w:tc>
            </w:tr>
            <w:tr w14:paraId="5FD1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pct"/>
                  <w:vMerge w:val="continue"/>
                  <w:noWrap w:val="0"/>
                  <w:vAlign w:val="center"/>
                </w:tcPr>
                <w:p w14:paraId="61210512">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p>
              </w:tc>
              <w:tc>
                <w:tcPr>
                  <w:tcW w:w="664" w:type="pct"/>
                  <w:noWrap w:val="0"/>
                  <w:vAlign w:val="center"/>
                </w:tcPr>
                <w:p w14:paraId="1D6B3744">
                  <w:pPr>
                    <w:widowControl/>
                    <w:shd w:val="clear"/>
                    <w:spacing w:line="240" w:lineRule="auto"/>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锌、铝熔渣</w:t>
                  </w:r>
                </w:p>
              </w:tc>
              <w:tc>
                <w:tcPr>
                  <w:tcW w:w="539" w:type="pct"/>
                  <w:noWrap w:val="0"/>
                  <w:vAlign w:val="center"/>
                </w:tcPr>
                <w:p w14:paraId="13C36A85">
                  <w:pPr>
                    <w:pStyle w:val="7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14:textFill>
                        <w14:solidFill>
                          <w14:schemeClr w14:val="tx1"/>
                        </w14:solidFill>
                      </w14:textFill>
                    </w:rPr>
                    <w:t>HW48</w:t>
                  </w:r>
                </w:p>
              </w:tc>
              <w:tc>
                <w:tcPr>
                  <w:tcW w:w="737" w:type="pct"/>
                  <w:noWrap w:val="0"/>
                  <w:vAlign w:val="center"/>
                </w:tcPr>
                <w:p w14:paraId="575E203F">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14:textFill>
                        <w14:solidFill>
                          <w14:schemeClr w14:val="tx1"/>
                        </w14:solidFill>
                      </w14:textFill>
                    </w:rPr>
                    <w:t>321-026-48</w:t>
                  </w:r>
                </w:p>
              </w:tc>
              <w:tc>
                <w:tcPr>
                  <w:tcW w:w="300" w:type="pct"/>
                  <w:vMerge w:val="continue"/>
                  <w:noWrap w:val="0"/>
                  <w:vAlign w:val="center"/>
                </w:tcPr>
                <w:p w14:paraId="1090359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center"/>
                </w:tcPr>
                <w:p w14:paraId="74B2FFF3">
                  <w:pPr>
                    <w:shd w:val="clear"/>
                    <w:spacing w:line="240" w:lineRule="auto"/>
                    <w:jc w:val="cente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t>桶装</w:t>
                  </w:r>
                </w:p>
              </w:tc>
              <w:tc>
                <w:tcPr>
                  <w:tcW w:w="611" w:type="pct"/>
                  <w:noWrap w:val="0"/>
                  <w:vAlign w:val="center"/>
                </w:tcPr>
                <w:p w14:paraId="496B53A7">
                  <w:pPr>
                    <w:shd w:val="clear"/>
                    <w:topLinePunct/>
                    <w:adjustRightInd w:val="0"/>
                    <w:snapToGrid w:val="0"/>
                    <w:spacing w:line="240" w:lineRule="auto"/>
                    <w:jc w:val="center"/>
                    <w:rPr>
                      <w:rFonts w:hint="default"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1.321</w:t>
                  </w:r>
                </w:p>
              </w:tc>
              <w:tc>
                <w:tcPr>
                  <w:tcW w:w="598" w:type="pct"/>
                  <w:noWrap w:val="0"/>
                  <w:vAlign w:val="center"/>
                </w:tcPr>
                <w:p w14:paraId="10D7BE4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pacing w:val="-10"/>
                      <w:sz w:val="21"/>
                      <w:szCs w:val="21"/>
                      <w:highlight w:val="none"/>
                      <w:vertAlign w:val="baseline"/>
                      <w:lang w:val="en-US" w:eastAsia="zh-CN"/>
                      <w14:textFill>
                        <w14:solidFill>
                          <w14:schemeClr w14:val="tx1"/>
                        </w14:solidFill>
                      </w14:textFill>
                    </w:rPr>
                    <w:t>2</w:t>
                  </w:r>
                </w:p>
              </w:tc>
              <w:tc>
                <w:tcPr>
                  <w:tcW w:w="539" w:type="pct"/>
                  <w:vMerge w:val="continue"/>
                  <w:noWrap w:val="0"/>
                  <w:vAlign w:val="top"/>
                </w:tcPr>
                <w:p w14:paraId="096A52BE">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top"/>
                </w:tcPr>
                <w:p w14:paraId="0CFFFE4E">
                  <w:pPr>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both"/>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半年</w:t>
                  </w:r>
                </w:p>
              </w:tc>
            </w:tr>
            <w:tr w14:paraId="03EC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pct"/>
                  <w:vMerge w:val="continue"/>
                  <w:noWrap w:val="0"/>
                  <w:vAlign w:val="center"/>
                </w:tcPr>
                <w:p w14:paraId="6A6C2C5B">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p>
              </w:tc>
              <w:tc>
                <w:tcPr>
                  <w:tcW w:w="664" w:type="pct"/>
                  <w:noWrap w:val="0"/>
                  <w:vAlign w:val="center"/>
                </w:tcPr>
                <w:p w14:paraId="1F3BFAA3">
                  <w:pPr>
                    <w:widowControl/>
                    <w:shd w:val="clear"/>
                    <w:spacing w:line="240" w:lineRule="auto"/>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喷淋沉渣</w:t>
                  </w:r>
                </w:p>
              </w:tc>
              <w:tc>
                <w:tcPr>
                  <w:tcW w:w="916" w:type="dxa"/>
                  <w:noWrap w:val="0"/>
                  <w:vAlign w:val="center"/>
                </w:tcPr>
                <w:p w14:paraId="79C279CD">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14:textFill>
                        <w14:solidFill>
                          <w14:schemeClr w14:val="tx1"/>
                        </w14:solidFill>
                      </w14:textFill>
                    </w:rPr>
                    <w:t>HW48</w:t>
                  </w:r>
                </w:p>
              </w:tc>
              <w:tc>
                <w:tcPr>
                  <w:tcW w:w="1252" w:type="dxa"/>
                  <w:noWrap w:val="0"/>
                  <w:vAlign w:val="center"/>
                </w:tcPr>
                <w:p w14:paraId="53282952">
                  <w:pPr>
                    <w:pStyle w:val="7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pacing w:val="0"/>
                      <w:kern w:val="21"/>
                      <w:position w:val="0"/>
                      <w:sz w:val="21"/>
                      <w:szCs w:val="21"/>
                      <w:highlight w:val="none"/>
                      <w14:textFill>
                        <w14:solidFill>
                          <w14:schemeClr w14:val="tx1"/>
                        </w14:solidFill>
                      </w14:textFill>
                    </w:rPr>
                    <w:t>321-0</w:t>
                  </w:r>
                  <w:r>
                    <w:rPr>
                      <w:rFonts w:hint="eastAsia" w:ascii="Times New Roman" w:hAnsi="Times New Roman"/>
                      <w:color w:val="000000" w:themeColor="text1"/>
                      <w:spacing w:val="0"/>
                      <w:kern w:val="21"/>
                      <w:position w:val="0"/>
                      <w:sz w:val="21"/>
                      <w:szCs w:val="21"/>
                      <w:highlight w:val="none"/>
                      <w:lang w:val="en-US" w:eastAsia="zh-CN"/>
                      <w14:textFill>
                        <w14:solidFill>
                          <w14:schemeClr w14:val="tx1"/>
                        </w14:solidFill>
                      </w14:textFill>
                    </w:rPr>
                    <w:t>34</w:t>
                  </w:r>
                  <w:r>
                    <w:rPr>
                      <w:rFonts w:hint="eastAsia" w:ascii="Times New Roman" w:hAnsi="Times New Roman" w:eastAsia="宋体"/>
                      <w:color w:val="000000" w:themeColor="text1"/>
                      <w:spacing w:val="0"/>
                      <w:kern w:val="21"/>
                      <w:position w:val="0"/>
                      <w:sz w:val="21"/>
                      <w:szCs w:val="21"/>
                      <w:highlight w:val="none"/>
                      <w14:textFill>
                        <w14:solidFill>
                          <w14:schemeClr w14:val="tx1"/>
                        </w14:solidFill>
                      </w14:textFill>
                    </w:rPr>
                    <w:t>-48</w:t>
                  </w:r>
                </w:p>
              </w:tc>
              <w:tc>
                <w:tcPr>
                  <w:tcW w:w="300" w:type="pct"/>
                  <w:vMerge w:val="continue"/>
                  <w:noWrap w:val="0"/>
                  <w:vAlign w:val="center"/>
                </w:tcPr>
                <w:p w14:paraId="4E9332E3">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center"/>
                </w:tcPr>
                <w:p w14:paraId="3058733D">
                  <w:pPr>
                    <w:shd w:val="clear"/>
                    <w:spacing w:line="240" w:lineRule="auto"/>
                    <w:jc w:val="cente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t>桶装</w:t>
                  </w:r>
                </w:p>
              </w:tc>
              <w:tc>
                <w:tcPr>
                  <w:tcW w:w="611" w:type="pct"/>
                  <w:noWrap w:val="0"/>
                  <w:vAlign w:val="center"/>
                </w:tcPr>
                <w:p w14:paraId="1F12E7CC">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0.0761</w:t>
                  </w:r>
                </w:p>
              </w:tc>
              <w:tc>
                <w:tcPr>
                  <w:tcW w:w="598" w:type="pct"/>
                  <w:noWrap w:val="0"/>
                  <w:vAlign w:val="center"/>
                </w:tcPr>
                <w:p w14:paraId="624BF46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pacing w:val="-10"/>
                      <w:sz w:val="21"/>
                      <w:szCs w:val="21"/>
                      <w:highlight w:val="none"/>
                      <w:vertAlign w:val="baseline"/>
                      <w:lang w:val="en-US" w:eastAsia="zh-CN"/>
                      <w14:textFill>
                        <w14:solidFill>
                          <w14:schemeClr w14:val="tx1"/>
                        </w14:solidFill>
                      </w14:textFill>
                    </w:rPr>
                    <w:t>2</w:t>
                  </w:r>
                </w:p>
              </w:tc>
              <w:tc>
                <w:tcPr>
                  <w:tcW w:w="539" w:type="pct"/>
                  <w:vMerge w:val="continue"/>
                  <w:noWrap w:val="0"/>
                  <w:vAlign w:val="top"/>
                </w:tcPr>
                <w:p w14:paraId="1B460B1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top"/>
                </w:tcPr>
                <w:p w14:paraId="775E390C">
                  <w:pPr>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both"/>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半年</w:t>
                  </w:r>
                </w:p>
              </w:tc>
            </w:tr>
            <w:tr w14:paraId="0F09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pct"/>
                  <w:vMerge w:val="continue"/>
                  <w:noWrap w:val="0"/>
                  <w:vAlign w:val="center"/>
                </w:tcPr>
                <w:p w14:paraId="6D8BFB03">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p>
              </w:tc>
              <w:tc>
                <w:tcPr>
                  <w:tcW w:w="664" w:type="pct"/>
                  <w:noWrap w:val="0"/>
                  <w:vAlign w:val="center"/>
                </w:tcPr>
                <w:p w14:paraId="22B78E0D">
                  <w:pPr>
                    <w:widowControl/>
                    <w:shd w:val="clear"/>
                    <w:spacing w:line="240" w:lineRule="auto"/>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含切削液金属屑</w:t>
                  </w:r>
                </w:p>
              </w:tc>
              <w:tc>
                <w:tcPr>
                  <w:tcW w:w="916" w:type="dxa"/>
                  <w:noWrap w:val="0"/>
                  <w:vAlign w:val="center"/>
                </w:tcPr>
                <w:p w14:paraId="23B471ED">
                  <w:pPr>
                    <w:topLinePunct/>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t>HW0</w:t>
                  </w:r>
                  <w:r>
                    <w:rPr>
                      <w:rFonts w:hint="eastAsia" w:cs="Times New Roman"/>
                      <w:bCs/>
                      <w:color w:val="000000" w:themeColor="text1"/>
                      <w:szCs w:val="21"/>
                      <w:highlight w:val="none"/>
                      <w:lang w:val="en-US" w:eastAsia="zh-CN"/>
                      <w14:textFill>
                        <w14:solidFill>
                          <w14:schemeClr w14:val="tx1"/>
                        </w14:solidFill>
                      </w14:textFill>
                    </w:rPr>
                    <w:t>8</w:t>
                  </w:r>
                </w:p>
              </w:tc>
              <w:tc>
                <w:tcPr>
                  <w:tcW w:w="1252" w:type="dxa"/>
                  <w:noWrap w:val="0"/>
                  <w:vAlign w:val="center"/>
                </w:tcPr>
                <w:p w14:paraId="1E0BAF75">
                  <w:pPr>
                    <w:topLinePunct/>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t>900-006-09</w:t>
                  </w:r>
                </w:p>
              </w:tc>
              <w:tc>
                <w:tcPr>
                  <w:tcW w:w="300" w:type="pct"/>
                  <w:vMerge w:val="continue"/>
                  <w:noWrap w:val="0"/>
                  <w:vAlign w:val="center"/>
                </w:tcPr>
                <w:p w14:paraId="0C17A87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center"/>
                </w:tcPr>
                <w:p w14:paraId="296139A4">
                  <w:pPr>
                    <w:shd w:val="clear"/>
                    <w:spacing w:line="240" w:lineRule="auto"/>
                    <w:jc w:val="cente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en-US"/>
                      <w14:textFill>
                        <w14:solidFill>
                          <w14:schemeClr w14:val="tx1"/>
                        </w14:solidFill>
                      </w14:textFill>
                    </w:rPr>
                    <w:t>桶装</w:t>
                  </w:r>
                </w:p>
              </w:tc>
              <w:tc>
                <w:tcPr>
                  <w:tcW w:w="611" w:type="pct"/>
                  <w:noWrap w:val="0"/>
                  <w:vAlign w:val="center"/>
                </w:tcPr>
                <w:p w14:paraId="31C10AF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0.3963</w:t>
                  </w:r>
                </w:p>
              </w:tc>
              <w:tc>
                <w:tcPr>
                  <w:tcW w:w="598" w:type="pct"/>
                  <w:noWrap w:val="0"/>
                  <w:vAlign w:val="center"/>
                </w:tcPr>
                <w:p w14:paraId="49061AD3">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pacing w:val="-10"/>
                      <w:sz w:val="21"/>
                      <w:szCs w:val="21"/>
                      <w:highlight w:val="none"/>
                      <w:vertAlign w:val="baseline"/>
                      <w:lang w:val="en-US" w:eastAsia="zh-CN"/>
                      <w14:textFill>
                        <w14:solidFill>
                          <w14:schemeClr w14:val="tx1"/>
                        </w14:solidFill>
                      </w14:textFill>
                    </w:rPr>
                    <w:t>2</w:t>
                  </w:r>
                </w:p>
              </w:tc>
              <w:tc>
                <w:tcPr>
                  <w:tcW w:w="539" w:type="pct"/>
                  <w:vMerge w:val="continue"/>
                  <w:noWrap w:val="0"/>
                  <w:vAlign w:val="top"/>
                </w:tcPr>
                <w:p w14:paraId="6504B65C">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top"/>
                </w:tcPr>
                <w:p w14:paraId="403738E7">
                  <w:pPr>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both"/>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1年</w:t>
                  </w:r>
                </w:p>
              </w:tc>
            </w:tr>
            <w:tr w14:paraId="5B2C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pct"/>
                  <w:vMerge w:val="continue"/>
                  <w:noWrap w:val="0"/>
                  <w:vAlign w:val="center"/>
                </w:tcPr>
                <w:p w14:paraId="7E943B56">
                  <w:pPr>
                    <w:shd w:val="clear"/>
                    <w:topLinePunct/>
                    <w:adjustRightInd w:val="0"/>
                    <w:snapToGrid w:val="0"/>
                    <w:spacing w:line="240" w:lineRule="auto"/>
                    <w:jc w:val="center"/>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p>
              </w:tc>
              <w:tc>
                <w:tcPr>
                  <w:tcW w:w="664" w:type="pct"/>
                  <w:noWrap w:val="0"/>
                  <w:vAlign w:val="center"/>
                </w:tcPr>
                <w:p w14:paraId="355B8E39">
                  <w:pPr>
                    <w:widowControl/>
                    <w:shd w:val="clea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含油金属碎屑</w:t>
                  </w:r>
                </w:p>
              </w:tc>
              <w:tc>
                <w:tcPr>
                  <w:tcW w:w="916" w:type="dxa"/>
                  <w:noWrap w:val="0"/>
                  <w:vAlign w:val="center"/>
                </w:tcPr>
                <w:p w14:paraId="1BF74317">
                  <w:pPr>
                    <w:widowControl/>
                    <w:shd w:val="clear"/>
                    <w:spacing w:line="240" w:lineRule="auto"/>
                    <w:jc w:val="cente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HW</w:t>
                  </w:r>
                  <w:r>
                    <w:rPr>
                      <w:rFonts w:hint="eastAsia" w:cs="Times New Roman"/>
                      <w:color w:val="000000" w:themeColor="text1"/>
                      <w:sz w:val="21"/>
                      <w:szCs w:val="21"/>
                      <w:highlight w:val="none"/>
                      <w:lang w:val="en-US" w:eastAsia="zh-CN"/>
                      <w14:textFill>
                        <w14:solidFill>
                          <w14:schemeClr w14:val="tx1"/>
                        </w14:solidFill>
                      </w14:textFill>
                    </w:rPr>
                    <w:t>49</w:t>
                  </w:r>
                </w:p>
              </w:tc>
              <w:tc>
                <w:tcPr>
                  <w:tcW w:w="1252" w:type="dxa"/>
                  <w:noWrap w:val="0"/>
                  <w:vAlign w:val="center"/>
                </w:tcPr>
                <w:p w14:paraId="06B264EB">
                  <w:pPr>
                    <w:widowControl/>
                    <w:shd w:val="clear"/>
                    <w:spacing w:line="240" w:lineRule="auto"/>
                    <w:jc w:val="cente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900-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041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49</w:t>
                  </w:r>
                </w:p>
              </w:tc>
              <w:tc>
                <w:tcPr>
                  <w:tcW w:w="300" w:type="pct"/>
                  <w:vMerge w:val="continue"/>
                  <w:noWrap w:val="0"/>
                  <w:vAlign w:val="center"/>
                </w:tcPr>
                <w:p w14:paraId="2533B32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center"/>
                </w:tcPr>
                <w:p w14:paraId="3A04EDA9">
                  <w:pPr>
                    <w:shd w:val="clear"/>
                    <w:spacing w:line="240" w:lineRule="auto"/>
                    <w:jc w:val="center"/>
                    <w:rPr>
                      <w:rFonts w:hint="eastAsia" w:ascii="Times New Roman" w:hAnsi="Times New Roman" w:eastAsia="宋体" w:cs="Times New Roman"/>
                      <w:color w:val="000000" w:themeColor="text1"/>
                      <w:kern w:val="0"/>
                      <w:sz w:val="21"/>
                      <w:szCs w:val="21"/>
                      <w:highlight w:val="none"/>
                      <w:lang w:val="en-US" w:eastAsia="zh-CN" w:bidi="en-US"/>
                      <w14:textFill>
                        <w14:solidFill>
                          <w14:schemeClr w14:val="tx1"/>
                        </w14:solidFill>
                      </w14:textFill>
                    </w:rPr>
                  </w:pPr>
                  <w:r>
                    <w:rPr>
                      <w:rFonts w:hint="eastAsia" w:cs="Times New Roman"/>
                      <w:color w:val="000000" w:themeColor="text1"/>
                      <w:kern w:val="0"/>
                      <w:sz w:val="21"/>
                      <w:szCs w:val="21"/>
                      <w:highlight w:val="none"/>
                      <w:lang w:val="en-US" w:eastAsia="zh-CN" w:bidi="en-US"/>
                      <w14:textFill>
                        <w14:solidFill>
                          <w14:schemeClr w14:val="tx1"/>
                        </w14:solidFill>
                      </w14:textFill>
                    </w:rPr>
                    <w:t>桶装</w:t>
                  </w:r>
                </w:p>
              </w:tc>
              <w:tc>
                <w:tcPr>
                  <w:tcW w:w="611" w:type="pct"/>
                  <w:noWrap w:val="0"/>
                  <w:vAlign w:val="center"/>
                </w:tcPr>
                <w:p w14:paraId="1FB5A6D1">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0.05</w:t>
                  </w:r>
                </w:p>
              </w:tc>
              <w:tc>
                <w:tcPr>
                  <w:tcW w:w="598" w:type="pct"/>
                  <w:noWrap w:val="0"/>
                  <w:vAlign w:val="center"/>
                </w:tcPr>
                <w:p w14:paraId="0BC00DB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default" w:cs="Times New Roman"/>
                      <w:b w:val="0"/>
                      <w:bCs w:val="0"/>
                      <w:color w:val="000000" w:themeColor="text1"/>
                      <w:spacing w:val="-1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pacing w:val="-10"/>
                      <w:sz w:val="21"/>
                      <w:szCs w:val="21"/>
                      <w:highlight w:val="none"/>
                      <w:vertAlign w:val="baseline"/>
                      <w:lang w:val="en-US" w:eastAsia="zh-CN"/>
                      <w14:textFill>
                        <w14:solidFill>
                          <w14:schemeClr w14:val="tx1"/>
                        </w14:solidFill>
                      </w14:textFill>
                    </w:rPr>
                    <w:t>1</w:t>
                  </w:r>
                </w:p>
              </w:tc>
              <w:tc>
                <w:tcPr>
                  <w:tcW w:w="539" w:type="pct"/>
                  <w:vMerge w:val="continue"/>
                  <w:noWrap w:val="0"/>
                  <w:vAlign w:val="top"/>
                </w:tcPr>
                <w:p w14:paraId="7EB3746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ind w:left="0" w:leftChars="0" w:firstLine="0" w:firstLineChars="0"/>
                    <w:jc w:val="center"/>
                    <w:textAlignment w:val="auto"/>
                    <w:rPr>
                      <w:rFonts w:hint="eastAsia" w:ascii="Times New Roman" w:hAnsi="Times New Roman" w:eastAsia="宋体" w:cs="Times New Roman"/>
                      <w:b w:val="0"/>
                      <w:bCs w:val="0"/>
                      <w:color w:val="000000" w:themeColor="text1"/>
                      <w:spacing w:val="-10"/>
                      <w:sz w:val="21"/>
                      <w:szCs w:val="21"/>
                      <w:highlight w:val="none"/>
                      <w:vertAlign w:val="baseline"/>
                      <w:lang w:val="en-US" w:eastAsia="zh-CN"/>
                      <w14:textFill>
                        <w14:solidFill>
                          <w14:schemeClr w14:val="tx1"/>
                        </w14:solidFill>
                      </w14:textFill>
                    </w:rPr>
                  </w:pPr>
                </w:p>
              </w:tc>
              <w:tc>
                <w:tcPr>
                  <w:tcW w:w="276" w:type="pct"/>
                  <w:noWrap w:val="0"/>
                  <w:vAlign w:val="top"/>
                </w:tcPr>
                <w:p w14:paraId="3DA27CE0">
                  <w:pPr>
                    <w:keepNext w:val="0"/>
                    <w:keepLines w:val="0"/>
                    <w:pageBreakBefore w:val="0"/>
                    <w:widowControl w:val="0"/>
                    <w:numPr>
                      <w:ilvl w:val="0"/>
                      <w:numId w:val="0"/>
                    </w:numPr>
                    <w:shd w:val="clear"/>
                    <w:kinsoku/>
                    <w:wordWrap/>
                    <w:overflowPunct/>
                    <w:topLinePunct w:val="0"/>
                    <w:autoSpaceDE/>
                    <w:autoSpaceDN/>
                    <w:bidi w:val="0"/>
                    <w:adjustRightInd/>
                    <w:snapToGrid w:val="0"/>
                    <w:spacing w:after="0" w:line="240" w:lineRule="auto"/>
                    <w:jc w:val="both"/>
                    <w:textAlignment w:val="auto"/>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1年</w:t>
                  </w:r>
                </w:p>
              </w:tc>
            </w:tr>
          </w:tbl>
          <w:p w14:paraId="62C433AD">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项目固废严格按有关规范要求，分类收集、贮存、处理处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置</w:t>
            </w:r>
            <w:r>
              <w:rPr>
                <w:rFonts w:hint="default" w:ascii="Times New Roman" w:hAnsi="Times New Roman" w:eastAsia="宋体" w:cs="Times New Roman"/>
                <w:color w:val="000000" w:themeColor="text1"/>
                <w:sz w:val="21"/>
                <w:szCs w:val="21"/>
                <w:highlight w:val="none"/>
                <w14:textFill>
                  <w14:solidFill>
                    <w14:schemeClr w14:val="tx1"/>
                  </w14:solidFill>
                </w14:textFill>
              </w:rPr>
              <w:t>。因此，采取上述处理措施后，无外排固体废物，对周围环境影响较小，符合</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生态环境局</w:t>
            </w:r>
            <w:r>
              <w:rPr>
                <w:rFonts w:hint="default" w:ascii="Times New Roman" w:hAnsi="Times New Roman" w:eastAsia="宋体" w:cs="Times New Roman"/>
                <w:color w:val="000000" w:themeColor="text1"/>
                <w:sz w:val="21"/>
                <w:szCs w:val="21"/>
                <w:highlight w:val="none"/>
                <w14:textFill>
                  <w14:solidFill>
                    <w14:schemeClr w14:val="tx1"/>
                  </w14:solidFill>
                </w14:textFill>
              </w:rPr>
              <w:t>有关固体废物应实现零排放的规定。</w:t>
            </w:r>
          </w:p>
          <w:p w14:paraId="3AA62C30">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42" w:firstLineChars="200"/>
              <w:jc w:val="both"/>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五、地下水及土壤环境影响分析</w:t>
            </w:r>
          </w:p>
          <w:p w14:paraId="5878438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根据《环境影响评价技术导则地下水环境》（HJ610-2016）和研究表明，最常见的潜水污染是通过包气带渗入而污染，深层潜水及承压水的污染是通过各类井孔、坑洞和断层等发生的，它们作为一种通道把其所揭露的含水层同地面污染源或已污染的含水层联系起来，造成深层地下水的污染。随着地下水的运动，形成地下水污染扩散带。</w:t>
            </w:r>
          </w:p>
          <w:p w14:paraId="621C73A5">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项目厂区内地面不存在裸露土壤地面，地面均设置了混凝土地面以及基础防渗措施，液态化学品储存场所进行防腐防渗处理；危险废物暂存区设置防风防雨、地面进行基础防渗处理</w:t>
            </w:r>
            <w:r>
              <w:rPr>
                <w:rFonts w:hint="default" w:ascii="Times New Roman" w:hAnsi="Times New Roman" w:eastAsia="宋体" w:cs="Times New Roman"/>
                <w:b w:val="0"/>
                <w:bCs/>
                <w:color w:val="000000" w:themeColor="text1"/>
                <w:spacing w:val="0"/>
                <w:sz w:val="21"/>
                <w:szCs w:val="21"/>
                <w:highlight w:val="none"/>
                <w:shd w:val="clear"/>
                <w:lang w:val="en-US" w:eastAsia="zh-CN"/>
                <w14:textFill>
                  <w14:solidFill>
                    <w14:schemeClr w14:val="tx1"/>
                  </w14:solidFill>
                </w14:textFill>
              </w:rPr>
              <w:t>，大气沉降影响主要</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为</w:t>
            </w:r>
            <w:r>
              <w:rPr>
                <w:rFonts w:hint="eastAsia" w:cs="Times New Roman"/>
                <w:b w:val="0"/>
                <w:bCs/>
                <w:color w:val="000000" w:themeColor="text1"/>
                <w:spacing w:val="0"/>
                <w:sz w:val="21"/>
                <w:szCs w:val="21"/>
                <w:highlight w:val="none"/>
                <w:lang w:val="en-US" w:eastAsia="zh-CN"/>
                <w14:textFill>
                  <w14:solidFill>
                    <w14:schemeClr w14:val="tx1"/>
                  </w14:solidFill>
                </w14:textFill>
              </w:rPr>
              <w:t>压铸、熔融、液化石油气燃烧、脱模、抛光、研磨、机加工、钻孔攻牙</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废气，经合理治理设施处理后，不会对周边环境产生明显影响。</w:t>
            </w:r>
          </w:p>
          <w:p w14:paraId="62697999">
            <w:pPr>
              <w:pStyle w:val="86"/>
              <w:keepNext w:val="0"/>
              <w:keepLines w:val="0"/>
              <w:pageBreakBefore w:val="0"/>
              <w:widowControl w:val="0"/>
              <w:numPr>
                <w:ilvl w:val="0"/>
                <w:numId w:val="0"/>
              </w:numPr>
              <w:shd w:val="clear"/>
              <w:kinsoku/>
              <w:bidi w:val="0"/>
              <w:spacing w:before="0" w:beforeLines="0" w:line="360" w:lineRule="auto"/>
              <w:ind w:leftChars="0" w:firstLine="482" w:firstLineChars="200"/>
              <w:jc w:val="both"/>
              <w:outlineLvl w:val="9"/>
              <w:rPr>
                <w:rFonts w:hint="default" w:ascii="Times New Roman" w:hAnsi="Times New Roman" w:eastAsia="宋体" w:cs="Times New Roman"/>
                <w:b/>
                <w:bCs w:val="0"/>
                <w:snapToGrid/>
                <w:color w:val="000000" w:themeColor="text1"/>
                <w:spacing w:val="0"/>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b/>
                <w:bCs w:val="0"/>
                <w:snapToGrid/>
                <w:color w:val="000000" w:themeColor="text1"/>
                <w:spacing w:val="0"/>
                <w:kern w:val="2"/>
                <w:sz w:val="24"/>
                <w:szCs w:val="24"/>
                <w:highlight w:val="none"/>
                <w:lang w:val="en-US" w:eastAsia="zh-CN" w:bidi="ar-SA"/>
                <w14:textFill>
                  <w14:solidFill>
                    <w14:schemeClr w14:val="tx1"/>
                  </w14:solidFill>
                </w14:textFill>
              </w:rPr>
              <w:t>地下水污染途径分析</w:t>
            </w:r>
          </w:p>
          <w:p w14:paraId="564B4E13">
            <w:pPr>
              <w:pStyle w:val="87"/>
              <w:keepNext w:val="0"/>
              <w:keepLines w:val="0"/>
              <w:pageBreakBefore w:val="0"/>
              <w:widowControl w:val="0"/>
              <w:shd w:val="clear"/>
              <w:tabs>
                <w:tab w:val="left" w:pos="1685"/>
              </w:tabs>
              <w:kinsoku/>
              <w:bidi w:val="0"/>
              <w:spacing w:line="360" w:lineRule="auto"/>
              <w:ind w:leftChars="0" w:firstLine="420" w:firstLineChars="200"/>
              <w:jc w:val="both"/>
              <w:outlineLvl w:val="9"/>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本项目运营期对地下水环境可能造成影响的污染源主要为固体废物、液态化学品</w:t>
            </w:r>
            <w:r>
              <w:rPr>
                <w:rFonts w:hint="eastAsia" w:ascii="Times New Roman" w:hAnsi="Times New Roman" w:cs="Times New Roman"/>
                <w:b w:val="0"/>
                <w:bCs/>
                <w:snapToGrid/>
                <w:color w:val="000000" w:themeColor="text1"/>
                <w:spacing w:val="0"/>
                <w:kern w:val="2"/>
                <w:sz w:val="21"/>
                <w:szCs w:val="21"/>
                <w:highlight w:val="none"/>
                <w:lang w:val="en-US" w:eastAsia="zh-CN" w:bidi="ar-SA"/>
                <w14:textFill>
                  <w14:solidFill>
                    <w14:schemeClr w14:val="tx1"/>
                  </w14:solidFill>
                </w14:textFill>
              </w:rPr>
              <w:t>、生产废水</w: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泄漏，主要污染物为废水与固体废物。对地下水产生污染的途径主要是渗透污染。具体的污染途径如下：</w:t>
            </w:r>
          </w:p>
          <w:p w14:paraId="2D5FDC82">
            <w:pPr>
              <w:pStyle w:val="87"/>
              <w:keepNext w:val="0"/>
              <w:keepLines w:val="0"/>
              <w:pageBreakBefore w:val="0"/>
              <w:widowControl w:val="0"/>
              <w:shd w:val="clear"/>
              <w:tabs>
                <w:tab w:val="left" w:pos="1685"/>
              </w:tabs>
              <w:kinsoku/>
              <w:bidi w:val="0"/>
              <w:spacing w:line="360" w:lineRule="auto"/>
              <w:ind w:leftChars="0" w:firstLine="420" w:firstLineChars="200"/>
              <w:jc w:val="both"/>
              <w:outlineLvl w:val="9"/>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instrText xml:space="preserve"> = 1 \* GB3 \* MERGEFORMAT </w:instrTex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①</w: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一般固体暂存地及危险废物暂存地未做好，导致固废渗滤液进入地下，污染地下水；</w:t>
            </w:r>
          </w:p>
          <w:p w14:paraId="69BD1C68">
            <w:pPr>
              <w:pStyle w:val="87"/>
              <w:keepNext w:val="0"/>
              <w:keepLines w:val="0"/>
              <w:pageBreakBefore w:val="0"/>
              <w:widowControl w:val="0"/>
              <w:shd w:val="clear"/>
              <w:tabs>
                <w:tab w:val="left" w:pos="1685"/>
              </w:tabs>
              <w:kinsoku/>
              <w:bidi w:val="0"/>
              <w:spacing w:line="360" w:lineRule="auto"/>
              <w:ind w:leftChars="0" w:firstLine="420" w:firstLineChars="200"/>
              <w:jc w:val="both"/>
              <w:outlineLvl w:val="9"/>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instrText xml:space="preserve"> = 2 \* GB3 \* MERGEFORMAT </w:instrTex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②</w: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生活垃圾暂存地未做好防渗措施同时生活垃圾未及时清理走，导致生活垃圾渗滤液进入地下，污染地下水；</w:t>
            </w:r>
          </w:p>
          <w:p w14:paraId="0C153BC5">
            <w:pPr>
              <w:keepNext w:val="0"/>
              <w:keepLines w:val="0"/>
              <w:pageBreakBefore w:val="0"/>
              <w:widowControl w:val="0"/>
              <w:shd w:val="clear"/>
              <w:kinsoku/>
              <w:bidi w:val="0"/>
              <w:spacing w:line="360" w:lineRule="auto"/>
              <w:ind w:leftChars="0" w:firstLine="420" w:firstLineChars="200"/>
              <w:jc w:val="both"/>
              <w:outlineLvl w:val="9"/>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instrText xml:space="preserve"> = 3 \* GB3 \* MERGEFORMAT </w:instrTex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③</w: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end"/>
            </w:r>
            <w:r>
              <w:rPr>
                <w:rFonts w:hint="default" w:ascii="Times New Roman" w:hAnsi="Times New Roman" w:cs="Times New Roman"/>
                <w:b w:val="0"/>
                <w:bCs/>
                <w:snapToGrid/>
                <w:color w:val="000000" w:themeColor="text1"/>
                <w:spacing w:val="0"/>
                <w:kern w:val="2"/>
                <w:sz w:val="21"/>
                <w:szCs w:val="21"/>
                <w:highlight w:val="none"/>
                <w:lang w:val="en-US" w:eastAsia="zh-CN" w:bidi="ar-SA"/>
                <w14:textFill>
                  <w14:solidFill>
                    <w14:schemeClr w14:val="tx1"/>
                  </w14:solidFill>
                </w14:textFill>
              </w:rPr>
              <w:t>液态化学品</w: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使用或者运输使用过程滴落，导致</w:t>
            </w:r>
            <w:r>
              <w:rPr>
                <w:rFonts w:hint="default" w:ascii="Times New Roman" w:hAnsi="Times New Roman" w:cs="Times New Roman"/>
                <w:b w:val="0"/>
                <w:bCs/>
                <w:snapToGrid/>
                <w:color w:val="000000" w:themeColor="text1"/>
                <w:spacing w:val="0"/>
                <w:kern w:val="2"/>
                <w:sz w:val="21"/>
                <w:szCs w:val="21"/>
                <w:highlight w:val="none"/>
                <w:lang w:val="en-US" w:eastAsia="zh-CN" w:bidi="ar-SA"/>
                <w14:textFill>
                  <w14:solidFill>
                    <w14:schemeClr w14:val="tx1"/>
                  </w14:solidFill>
                </w14:textFill>
              </w:rPr>
              <w:t>化学品</w: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进入地下，污染地下水；</w:t>
            </w:r>
          </w:p>
          <w:p w14:paraId="2B8541C6">
            <w:pPr>
              <w:keepNext w:val="0"/>
              <w:keepLines w:val="0"/>
              <w:pageBreakBefore w:val="0"/>
              <w:widowControl w:val="0"/>
              <w:shd w:val="clear"/>
              <w:kinsoku/>
              <w:bidi w:val="0"/>
              <w:spacing w:line="360" w:lineRule="auto"/>
              <w:ind w:leftChars="0" w:firstLine="420" w:firstLineChars="200"/>
              <w:jc w:val="both"/>
              <w:outlineLvl w:val="9"/>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pPr>
            <w:r>
              <w:rPr>
                <w:rFonts w:hint="eastAsia" w:cs="Times New Roman"/>
                <w:b w:val="0"/>
                <w:bCs/>
                <w:snapToGrid/>
                <w:color w:val="000000" w:themeColor="text1"/>
                <w:spacing w:val="0"/>
                <w:kern w:val="2"/>
                <w:sz w:val="21"/>
                <w:szCs w:val="21"/>
                <w:highlight w:val="none"/>
                <w:lang w:val="en-US" w:eastAsia="zh-CN" w:bidi="ar-SA"/>
                <w14:textFill>
                  <w14:solidFill>
                    <w14:schemeClr w14:val="tx1"/>
                  </w14:solidFill>
                </w14:textFill>
              </w:rPr>
              <w:t>④废水收集设施管理不当，容器破裂引起泄漏或转移过程操作不规范，导致液体的滴漏对地下水造成污染。</w:t>
            </w:r>
          </w:p>
          <w:p w14:paraId="768300B4">
            <w:pPr>
              <w:pStyle w:val="86"/>
              <w:keepNext w:val="0"/>
              <w:keepLines w:val="0"/>
              <w:pageBreakBefore w:val="0"/>
              <w:widowControl w:val="0"/>
              <w:numPr>
                <w:ilvl w:val="0"/>
                <w:numId w:val="0"/>
              </w:numPr>
              <w:shd w:val="clear"/>
              <w:kinsoku/>
              <w:bidi w:val="0"/>
              <w:spacing w:before="0" w:beforeLines="0" w:after="0" w:line="360" w:lineRule="auto"/>
              <w:ind w:leftChars="0" w:right="0" w:firstLine="482" w:firstLineChars="200"/>
              <w:jc w:val="both"/>
              <w:textAlignment w:val="auto"/>
              <w:outlineLvl w:val="9"/>
              <w:rPr>
                <w:rFonts w:hint="default" w:ascii="Times New Roman" w:hAnsi="Times New Roman" w:eastAsia="宋体" w:cs="Times New Roman"/>
                <w:b/>
                <w:bCs w:val="0"/>
                <w:snapToGrid/>
                <w:color w:val="000000" w:themeColor="text1"/>
                <w:spacing w:val="0"/>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b/>
                <w:bCs w:val="0"/>
                <w:snapToGrid/>
                <w:color w:val="000000" w:themeColor="text1"/>
                <w:spacing w:val="0"/>
                <w:kern w:val="2"/>
                <w:sz w:val="24"/>
                <w:szCs w:val="24"/>
                <w:highlight w:val="none"/>
                <w:lang w:val="en-US" w:eastAsia="zh-CN" w:bidi="ar-SA"/>
                <w14:textFill>
                  <w14:solidFill>
                    <w14:schemeClr w14:val="tx1"/>
                  </w14:solidFill>
                </w14:textFill>
              </w:rPr>
              <w:t>土壤污染源及污染途径分析</w:t>
            </w:r>
          </w:p>
          <w:p w14:paraId="0BC9DC85">
            <w:pPr>
              <w:pStyle w:val="48"/>
              <w:keepNext w:val="0"/>
              <w:keepLines w:val="0"/>
              <w:pageBreakBefore w:val="0"/>
              <w:widowControl w:val="0"/>
              <w:shd w:val="clear"/>
              <w:kinsoku/>
              <w:bidi w:val="0"/>
              <w:spacing w:line="360" w:lineRule="auto"/>
              <w:ind w:leftChars="0" w:right="0" w:firstLine="420" w:firstLineChars="200"/>
              <w:jc w:val="both"/>
              <w:textAlignment w:val="auto"/>
              <w:outlineLvl w:val="9"/>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项目对土壤环境可能造成影响的污染源有以下几种，主要污染途径为大气沉降和垂直入渗；</w:t>
            </w:r>
          </w:p>
          <w:p w14:paraId="7493E381">
            <w:pPr>
              <w:pStyle w:val="85"/>
              <w:keepNext w:val="0"/>
              <w:keepLines w:val="0"/>
              <w:pageBreakBefore w:val="0"/>
              <w:shd w:val="clear"/>
              <w:kinsoku/>
              <w:wordWrap/>
              <w:overflowPunct/>
              <w:topLinePunct w:val="0"/>
              <w:autoSpaceDE/>
              <w:autoSpaceDN/>
              <w:bidi w:val="0"/>
              <w:adjustRightInd/>
              <w:spacing w:line="360" w:lineRule="auto"/>
              <w:ind w:leftChars="0" w:right="0" w:firstLine="420" w:firstLineChars="200"/>
              <w:jc w:val="both"/>
              <w:textAlignment w:val="auto"/>
              <w:outlineLvl w:val="9"/>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instrText xml:space="preserve"> = 1 \* GB3 \* MERGEFORMAT </w:instrTex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①</w: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生活污水</w:t>
            </w:r>
            <w:r>
              <w:rPr>
                <w:rFonts w:hint="eastAsia" w:cs="Times New Roman"/>
                <w:b w:val="0"/>
                <w:bCs/>
                <w:snapToGrid/>
                <w:color w:val="000000" w:themeColor="text1"/>
                <w:spacing w:val="0"/>
                <w:kern w:val="2"/>
                <w:sz w:val="21"/>
                <w:szCs w:val="21"/>
                <w:highlight w:val="none"/>
                <w:lang w:val="en-US" w:eastAsia="zh-CN" w:bidi="ar-SA"/>
                <w14:textFill>
                  <w14:solidFill>
                    <w14:schemeClr w14:val="tx1"/>
                  </w14:solidFill>
                </w14:textFill>
              </w:rPr>
              <w:t>、生产废水</w: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的泄漏，导致污染土壤；</w:t>
            </w:r>
          </w:p>
          <w:p w14:paraId="64297FEC">
            <w:pPr>
              <w:pStyle w:val="85"/>
              <w:keepNext w:val="0"/>
              <w:keepLines w:val="0"/>
              <w:pageBreakBefore w:val="0"/>
              <w:shd w:val="clear"/>
              <w:kinsoku/>
              <w:wordWrap/>
              <w:overflowPunct/>
              <w:topLinePunct w:val="0"/>
              <w:autoSpaceDE/>
              <w:autoSpaceDN/>
              <w:bidi w:val="0"/>
              <w:adjustRightInd/>
              <w:spacing w:line="360" w:lineRule="auto"/>
              <w:ind w:leftChars="0" w:right="0" w:firstLine="420" w:firstLineChars="200"/>
              <w:jc w:val="both"/>
              <w:textAlignment w:val="auto"/>
              <w:outlineLvl w:val="9"/>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instrText xml:space="preserve"> = 2 \* GB3 \* MERGEFORMAT </w:instrTex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②</w: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液态化学品运输及使用过程的泄漏，导致化学品入渗到土壤；</w:t>
            </w:r>
          </w:p>
          <w:p w14:paraId="4D5AE812">
            <w:pPr>
              <w:pStyle w:val="85"/>
              <w:keepNext w:val="0"/>
              <w:keepLines w:val="0"/>
              <w:pageBreakBefore w:val="0"/>
              <w:shd w:val="clear"/>
              <w:kinsoku/>
              <w:wordWrap/>
              <w:overflowPunct/>
              <w:topLinePunct w:val="0"/>
              <w:autoSpaceDE/>
              <w:autoSpaceDN/>
              <w:bidi w:val="0"/>
              <w:adjustRightInd/>
              <w:spacing w:line="360" w:lineRule="auto"/>
              <w:ind w:leftChars="0" w:right="0" w:firstLine="420" w:firstLineChars="200"/>
              <w:jc w:val="both"/>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instrText xml:space="preserve"> = 3 \* GB3 \* MERGEFORMAT </w:instrTex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③</w:t>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一般固体废物暂存间或危废暂存间的渗滤液下渗，导致土壤的污染；</w:t>
            </w:r>
          </w:p>
          <w:p w14:paraId="56E2C6ED">
            <w:pPr>
              <w:pStyle w:val="18"/>
              <w:keepNext w:val="0"/>
              <w:keepLines w:val="0"/>
              <w:pageBreakBefore w:val="0"/>
              <w:widowControl/>
              <w:shd w:val="clear"/>
              <w:kinsoku/>
              <w:wordWrap/>
              <w:overflowPunct/>
              <w:topLinePunct w:val="0"/>
              <w:autoSpaceDE/>
              <w:autoSpaceDN/>
              <w:bidi w:val="0"/>
              <w:adjustRightInd/>
              <w:snapToGrid w:val="0"/>
              <w:spacing w:before="0" w:after="0" w:line="360" w:lineRule="auto"/>
              <w:ind w:leftChars="0" w:right="0" w:firstLine="420" w:firstLineChars="200"/>
              <w:jc w:val="both"/>
              <w:textAlignment w:val="auto"/>
              <w:outlineLvl w:val="9"/>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④生产过程产生的废气大气沉降，导致土壤的污染；</w:t>
            </w:r>
          </w:p>
          <w:p w14:paraId="51CC070E">
            <w:pPr>
              <w:pStyle w:val="18"/>
              <w:keepNext w:val="0"/>
              <w:keepLines w:val="0"/>
              <w:pageBreakBefore w:val="0"/>
              <w:widowControl/>
              <w:shd w:val="clear"/>
              <w:kinsoku/>
              <w:wordWrap/>
              <w:overflowPunct/>
              <w:topLinePunct w:val="0"/>
              <w:autoSpaceDE/>
              <w:autoSpaceDN/>
              <w:bidi w:val="0"/>
              <w:adjustRightInd/>
              <w:snapToGrid w:val="0"/>
              <w:spacing w:before="0" w:after="0" w:line="360" w:lineRule="auto"/>
              <w:ind w:right="0" w:firstLine="482" w:firstLineChars="200"/>
              <w:jc w:val="both"/>
              <w:textAlignment w:val="auto"/>
              <w:rPr>
                <w:rFonts w:hint="default" w:ascii="Times New Roman" w:hAnsi="Times New Roman" w:eastAsia="宋体" w:cs="Times New Roman"/>
                <w:b/>
                <w:bCs w:val="0"/>
                <w:snapToGrid/>
                <w:color w:val="000000" w:themeColor="text1"/>
                <w:spacing w:val="0"/>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b/>
                <w:bCs w:val="0"/>
                <w:snapToGrid/>
                <w:color w:val="000000" w:themeColor="text1"/>
                <w:spacing w:val="0"/>
                <w:kern w:val="2"/>
                <w:sz w:val="24"/>
                <w:szCs w:val="24"/>
                <w:highlight w:val="none"/>
                <w:lang w:val="en-US" w:eastAsia="zh-CN" w:bidi="ar-SA"/>
                <w14:textFill>
                  <w14:solidFill>
                    <w14:schemeClr w14:val="tx1"/>
                  </w14:solidFill>
                </w14:textFill>
              </w:rPr>
              <w:t>防渗方案</w:t>
            </w:r>
          </w:p>
          <w:p w14:paraId="3DB8C288">
            <w:pPr>
              <w:pStyle w:val="18"/>
              <w:keepNext w:val="0"/>
              <w:keepLines w:val="0"/>
              <w:pageBreakBefore w:val="0"/>
              <w:widowControl/>
              <w:shd w:val="clear"/>
              <w:kinsoku/>
              <w:wordWrap/>
              <w:overflowPunct/>
              <w:topLinePunct w:val="0"/>
              <w:autoSpaceDE/>
              <w:autoSpaceDN/>
              <w:bidi w:val="0"/>
              <w:adjustRightInd/>
              <w:snapToGrid w:val="0"/>
              <w:spacing w:before="0" w:after="0" w:line="360" w:lineRule="auto"/>
              <w:ind w:right="0" w:firstLine="420" w:firstLineChars="200"/>
              <w:jc w:val="both"/>
              <w:textAlignment w:val="auto"/>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snapToGrid/>
                <w:color w:val="000000" w:themeColor="text1"/>
                <w:spacing w:val="0"/>
                <w:kern w:val="2"/>
                <w:sz w:val="21"/>
                <w:szCs w:val="21"/>
                <w:highlight w:val="none"/>
                <w:lang w:val="en-US" w:eastAsia="zh-CN" w:bidi="ar-SA"/>
                <w14:textFill>
                  <w14:solidFill>
                    <w14:schemeClr w14:val="tx1"/>
                  </w14:solidFill>
                </w14:textFill>
              </w:rPr>
              <w:t>根据本项目各区可能泄漏至地面区域污染物的性质和生产单元的构筑方式，将车间划分为重点污染防渗区、一般污染防渗区和非污染防治区。重点污染防渗区：污染地下水环境的物料长期贮存或泄漏不容易及时发现和处理的区域。一般污染防渗区：污染地下水环境的物料泄漏容易及时发现和处理的区域。非污染防治区：指不会对地下水环境造成污染的区域。参照《危险废物贮存污染控制标准》（GB18597—2023），本项目厂内主要防渗分区及防渗要求如下表：</w:t>
            </w:r>
          </w:p>
          <w:p w14:paraId="32E3589C">
            <w:pPr>
              <w:keepNext w:val="0"/>
              <w:keepLines w:val="0"/>
              <w:pageBreakBefore w:val="0"/>
              <w:widowControl w:val="0"/>
              <w:suppressLineNumbers w:val="0"/>
              <w:shd w:val="clear"/>
              <w:kinsoku/>
              <w:wordWrap/>
              <w:overflowPunct/>
              <w:topLinePunct w:val="0"/>
              <w:autoSpaceDE/>
              <w:autoSpaceDN/>
              <w:bidi w:val="0"/>
              <w:adjustRightInd/>
              <w:snapToGrid/>
              <w:spacing w:beforeAutospacing="0" w:after="0" w:afterAutospacing="0" w:line="240" w:lineRule="auto"/>
              <w:ind w:left="0" w:right="0" w:firstLine="482" w:firstLineChars="200"/>
              <w:jc w:val="center"/>
              <w:textAlignment w:val="auto"/>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表</w:t>
            </w:r>
            <w:r>
              <w:rPr>
                <w:rFonts w:hint="eastAsia" w:cs="Times New Roman"/>
                <w:b/>
                <w:color w:val="000000" w:themeColor="text1"/>
                <w:kern w:val="2"/>
                <w:sz w:val="24"/>
                <w:szCs w:val="24"/>
                <w:highlight w:val="none"/>
                <w:lang w:val="en-US" w:eastAsia="zh-CN" w:bidi="ar-SA"/>
                <w14:textFill>
                  <w14:solidFill>
                    <w14:schemeClr w14:val="tx1"/>
                  </w14:solidFill>
                </w14:textFill>
              </w:rPr>
              <w:t>45</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项目分区防渗情况一览表</w:t>
            </w:r>
          </w:p>
          <w:tbl>
            <w:tblPr>
              <w:tblStyle w:val="34"/>
              <w:tblW w:w="76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1690"/>
              <w:gridCol w:w="1031"/>
              <w:gridCol w:w="990"/>
              <w:gridCol w:w="3410"/>
            </w:tblGrid>
            <w:tr w14:paraId="310F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89" w:type="dxa"/>
                  <w:noWrap w:val="0"/>
                  <w:vAlign w:val="center"/>
                </w:tcPr>
                <w:p w14:paraId="58471C1A">
                  <w:pPr>
                    <w:keepNext/>
                    <w:keepLines/>
                    <w:widowControl w:val="0"/>
                    <w:numPr>
                      <w:ilvl w:val="0"/>
                      <w:numId w:val="0"/>
                    </w:numPr>
                    <w:shd w:val="clear"/>
                    <w:spacing w:line="240" w:lineRule="auto"/>
                    <w:jc w:val="center"/>
                    <w:outlineLvl w:val="2"/>
                    <w:rPr>
                      <w:rFonts w:hint="default" w:ascii="Times New Roman" w:hAnsi="Times New Roman" w:eastAsia="宋体" w:cs="Times New Roman"/>
                      <w:b/>
                      <w:bCs/>
                      <w:color w:val="000000" w:themeColor="text1"/>
                      <w:kern w:val="2"/>
                      <w:sz w:val="21"/>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vertAlign w:val="baseline"/>
                      <w:lang w:val="en-US" w:eastAsia="zh-CN" w:bidi="ar-SA"/>
                      <w14:textFill>
                        <w14:solidFill>
                          <w14:schemeClr w14:val="tx1"/>
                        </w14:solidFill>
                      </w14:textFill>
                    </w:rPr>
                    <w:t>序号</w:t>
                  </w:r>
                </w:p>
              </w:tc>
              <w:tc>
                <w:tcPr>
                  <w:tcW w:w="1690" w:type="dxa"/>
                  <w:noWrap w:val="0"/>
                  <w:vAlign w:val="center"/>
                </w:tcPr>
                <w:p w14:paraId="2D34CF7D">
                  <w:pPr>
                    <w:keepNext/>
                    <w:keepLines/>
                    <w:widowControl w:val="0"/>
                    <w:numPr>
                      <w:ilvl w:val="0"/>
                      <w:numId w:val="0"/>
                    </w:numPr>
                    <w:shd w:val="clear"/>
                    <w:spacing w:line="240" w:lineRule="auto"/>
                    <w:jc w:val="center"/>
                    <w:outlineLvl w:val="2"/>
                    <w:rPr>
                      <w:rFonts w:hint="default" w:ascii="Times New Roman" w:hAnsi="Times New Roman" w:eastAsia="宋体" w:cs="Times New Roman"/>
                      <w:b/>
                      <w:bCs/>
                      <w:color w:val="000000" w:themeColor="text1"/>
                      <w:kern w:val="2"/>
                      <w:sz w:val="21"/>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vertAlign w:val="baseline"/>
                      <w:lang w:val="en-US" w:eastAsia="zh-CN" w:bidi="ar-SA"/>
                      <w14:textFill>
                        <w14:solidFill>
                          <w14:schemeClr w14:val="tx1"/>
                        </w14:solidFill>
                      </w14:textFill>
                    </w:rPr>
                    <w:t>单元</w:t>
                  </w:r>
                </w:p>
              </w:tc>
              <w:tc>
                <w:tcPr>
                  <w:tcW w:w="1031" w:type="dxa"/>
                  <w:noWrap w:val="0"/>
                  <w:vAlign w:val="center"/>
                </w:tcPr>
                <w:p w14:paraId="69003043">
                  <w:pPr>
                    <w:keepNext/>
                    <w:keepLines/>
                    <w:widowControl w:val="0"/>
                    <w:numPr>
                      <w:ilvl w:val="0"/>
                      <w:numId w:val="0"/>
                    </w:numPr>
                    <w:shd w:val="clear"/>
                    <w:spacing w:line="240" w:lineRule="auto"/>
                    <w:jc w:val="center"/>
                    <w:outlineLvl w:val="2"/>
                    <w:rPr>
                      <w:rFonts w:hint="default" w:ascii="Times New Roman" w:hAnsi="Times New Roman" w:eastAsia="宋体" w:cs="Times New Roman"/>
                      <w:b/>
                      <w:bCs/>
                      <w:color w:val="000000" w:themeColor="text1"/>
                      <w:kern w:val="2"/>
                      <w:sz w:val="21"/>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vertAlign w:val="baseline"/>
                      <w:lang w:val="en-US" w:eastAsia="zh-CN" w:bidi="ar-SA"/>
                      <w14:textFill>
                        <w14:solidFill>
                          <w14:schemeClr w14:val="tx1"/>
                        </w14:solidFill>
                      </w14:textFill>
                    </w:rPr>
                    <w:t>防渗分区</w:t>
                  </w:r>
                </w:p>
              </w:tc>
              <w:tc>
                <w:tcPr>
                  <w:tcW w:w="990" w:type="dxa"/>
                  <w:noWrap w:val="0"/>
                  <w:vAlign w:val="center"/>
                </w:tcPr>
                <w:p w14:paraId="03B4297D">
                  <w:pPr>
                    <w:keepNext/>
                    <w:keepLines/>
                    <w:widowControl w:val="0"/>
                    <w:numPr>
                      <w:ilvl w:val="0"/>
                      <w:numId w:val="0"/>
                    </w:numPr>
                    <w:shd w:val="clear"/>
                    <w:spacing w:line="240" w:lineRule="auto"/>
                    <w:jc w:val="center"/>
                    <w:outlineLvl w:val="2"/>
                    <w:rPr>
                      <w:rFonts w:hint="default" w:ascii="Times New Roman" w:hAnsi="Times New Roman" w:eastAsia="宋体" w:cs="Times New Roman"/>
                      <w:b/>
                      <w:bCs/>
                      <w:color w:val="000000" w:themeColor="text1"/>
                      <w:kern w:val="2"/>
                      <w:sz w:val="21"/>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防渗结构形式</w:t>
                  </w:r>
                </w:p>
              </w:tc>
              <w:tc>
                <w:tcPr>
                  <w:tcW w:w="3410" w:type="dxa"/>
                  <w:noWrap w:val="0"/>
                  <w:vAlign w:val="center"/>
                </w:tcPr>
                <w:p w14:paraId="0F47C464">
                  <w:pPr>
                    <w:keepNext/>
                    <w:keepLines/>
                    <w:widowControl w:val="0"/>
                    <w:numPr>
                      <w:ilvl w:val="0"/>
                      <w:numId w:val="0"/>
                    </w:numPr>
                    <w:shd w:val="clear"/>
                    <w:spacing w:line="240" w:lineRule="auto"/>
                    <w:jc w:val="center"/>
                    <w:outlineLvl w:val="2"/>
                    <w:rPr>
                      <w:rFonts w:hint="default" w:ascii="Times New Roman" w:hAnsi="Times New Roman" w:eastAsia="宋体" w:cs="Times New Roman"/>
                      <w:b/>
                      <w:bCs/>
                      <w:color w:val="000000" w:themeColor="text1"/>
                      <w:kern w:val="2"/>
                      <w:sz w:val="21"/>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vertAlign w:val="baseline"/>
                      <w:lang w:val="en-US" w:eastAsia="zh-CN" w:bidi="ar-SA"/>
                      <w14:textFill>
                        <w14:solidFill>
                          <w14:schemeClr w14:val="tx1"/>
                        </w14:solidFill>
                      </w14:textFill>
                    </w:rPr>
                    <w:t>具体结构、防渗系数</w:t>
                  </w:r>
                </w:p>
              </w:tc>
            </w:tr>
            <w:tr w14:paraId="612C2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489" w:type="dxa"/>
                  <w:noWrap w:val="0"/>
                  <w:vAlign w:val="center"/>
                </w:tcPr>
                <w:p w14:paraId="387350D3">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1</w:t>
                  </w:r>
                </w:p>
              </w:tc>
              <w:tc>
                <w:tcPr>
                  <w:tcW w:w="1690" w:type="dxa"/>
                  <w:noWrap w:val="0"/>
                  <w:vAlign w:val="center"/>
                </w:tcPr>
                <w:p w14:paraId="72ED4BFC">
                  <w:pPr>
                    <w:keepNext/>
                    <w:keepLines/>
                    <w:pageBreakBefore w:val="0"/>
                    <w:widowControl w:val="0"/>
                    <w:numPr>
                      <w:ilvl w:val="0"/>
                      <w:numId w:val="0"/>
                    </w:numPr>
                    <w:shd w:val="clear"/>
                    <w:kinsoku/>
                    <w:wordWrap/>
                    <w:overflowPunct/>
                    <w:topLinePunct w:val="0"/>
                    <w:autoSpaceDE/>
                    <w:autoSpaceDN/>
                    <w:bidi w:val="0"/>
                    <w:adjustRightInd/>
                    <w:snapToGrid/>
                    <w:spacing w:before="0" w:beforeLines="0"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危废</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间</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r>
                    <w:rPr>
                      <w:rFonts w:hint="default" w:ascii="Times New Roman" w:hAnsi="Times New Roman" w:cs="Times New Roman"/>
                      <w:b w:val="0"/>
                      <w:bCs w:val="0"/>
                      <w:color w:val="000000" w:themeColor="text1"/>
                      <w:kern w:val="2"/>
                      <w:sz w:val="21"/>
                      <w:szCs w:val="21"/>
                      <w:highlight w:val="none"/>
                      <w:vertAlign w:val="baseline"/>
                      <w:lang w:val="en-US" w:eastAsia="zh-CN" w:bidi="ar-SA"/>
                      <w14:textFill>
                        <w14:solidFill>
                          <w14:schemeClr w14:val="tx1"/>
                        </w14:solidFill>
                      </w14:textFill>
                    </w:rPr>
                    <w:t>生产区、</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废水暂存区、原料区、成品区、半成品区</w:t>
                  </w:r>
                </w:p>
              </w:tc>
              <w:tc>
                <w:tcPr>
                  <w:tcW w:w="1031" w:type="dxa"/>
                  <w:noWrap w:val="0"/>
                  <w:vAlign w:val="center"/>
                </w:tcPr>
                <w:p w14:paraId="54D235E4">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重点污染防渗区</w:t>
                  </w:r>
                </w:p>
              </w:tc>
              <w:tc>
                <w:tcPr>
                  <w:tcW w:w="990" w:type="dxa"/>
                  <w:noWrap w:val="0"/>
                  <w:vAlign w:val="center"/>
                </w:tcPr>
                <w:p w14:paraId="698D584C">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刚性防渗结构</w:t>
                  </w:r>
                </w:p>
              </w:tc>
              <w:tc>
                <w:tcPr>
                  <w:tcW w:w="3410" w:type="dxa"/>
                  <w:noWrap w:val="0"/>
                  <w:vAlign w:val="center"/>
                </w:tcPr>
                <w:p w14:paraId="1760380D">
                  <w:pPr>
                    <w:keepNext/>
                    <w:keepLines/>
                    <w:pageBreakBefore w:val="0"/>
                    <w:widowControl w:val="0"/>
                    <w:numPr>
                      <w:ilvl w:val="0"/>
                      <w:numId w:val="0"/>
                    </w:numPr>
                    <w:shd w:val="clear"/>
                    <w:kinsoku/>
                    <w:wordWrap/>
                    <w:overflowPunct/>
                    <w:topLinePunct w:val="0"/>
                    <w:autoSpaceDE/>
                    <w:autoSpaceDN/>
                    <w:bidi w:val="0"/>
                    <w:adjustRightInd/>
                    <w:snapToGrid/>
                    <w:spacing w:before="157" w:beforeLines="50"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采用水泥基渗透抗渗混凝土（厚度不宜小于150mm）+水泥基渗透结晶型防渗涂层（厚度不小于0.8m）结构形式，渗透参数≤1.0×10</w:t>
                  </w:r>
                  <w:r>
                    <w:rPr>
                      <w:rFonts w:hint="default" w:ascii="Times New Roman" w:hAnsi="Times New Roman" w:eastAsia="宋体" w:cs="Times New Roman"/>
                      <w:b w:val="0"/>
                      <w:bCs w:val="0"/>
                      <w:color w:val="000000" w:themeColor="text1"/>
                      <w:kern w:val="2"/>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cm/s</w:t>
                  </w:r>
                </w:p>
              </w:tc>
            </w:tr>
            <w:tr w14:paraId="230A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489" w:type="dxa"/>
                  <w:noWrap w:val="0"/>
                  <w:vAlign w:val="center"/>
                </w:tcPr>
                <w:p w14:paraId="4B996A09">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2</w:t>
                  </w:r>
                </w:p>
              </w:tc>
              <w:tc>
                <w:tcPr>
                  <w:tcW w:w="1690" w:type="dxa"/>
                  <w:noWrap w:val="0"/>
                  <w:vAlign w:val="center"/>
                </w:tcPr>
                <w:p w14:paraId="419C8CB6">
                  <w:pPr>
                    <w:pStyle w:val="17"/>
                    <w:shd w:val="clear"/>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除危废</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间</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原料区、成品区、半成品区</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r>
                    <w:rPr>
                      <w:rFonts w:hint="default" w:ascii="Times New Roman" w:hAnsi="Times New Roman" w:cs="Times New Roman"/>
                      <w:b w:val="0"/>
                      <w:bCs w:val="0"/>
                      <w:color w:val="000000" w:themeColor="text1"/>
                      <w:kern w:val="2"/>
                      <w:sz w:val="21"/>
                      <w:szCs w:val="21"/>
                      <w:highlight w:val="none"/>
                      <w:vertAlign w:val="baseline"/>
                      <w:lang w:val="en-US" w:eastAsia="zh-CN" w:bidi="ar-SA"/>
                      <w14:textFill>
                        <w14:solidFill>
                          <w14:schemeClr w14:val="tx1"/>
                        </w14:solidFill>
                      </w14:textFill>
                    </w:rPr>
                    <w:t>生产区</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、废水暂存区</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以外的区域</w:t>
                  </w:r>
                </w:p>
              </w:tc>
              <w:tc>
                <w:tcPr>
                  <w:tcW w:w="1031" w:type="dxa"/>
                  <w:noWrap w:val="0"/>
                  <w:vAlign w:val="center"/>
                </w:tcPr>
                <w:p w14:paraId="25D59F9C">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b w:val="0"/>
                      <w:bCs w:val="0"/>
                      <w:color w:val="000000" w:themeColor="text1"/>
                      <w:kern w:val="2"/>
                      <w:sz w:val="21"/>
                      <w:szCs w:val="21"/>
                      <w:highlight w:val="none"/>
                      <w:vertAlign w:val="baseline"/>
                      <w:lang w:val="en-US" w:eastAsia="zh-CN" w:bidi="ar-SA"/>
                      <w14:textFill>
                        <w14:solidFill>
                          <w14:schemeClr w14:val="tx1"/>
                        </w14:solidFill>
                      </w14:textFill>
                    </w:rPr>
                    <w:t>一般污染防渗区</w:t>
                  </w:r>
                </w:p>
              </w:tc>
              <w:tc>
                <w:tcPr>
                  <w:tcW w:w="990" w:type="dxa"/>
                  <w:noWrap w:val="0"/>
                  <w:vAlign w:val="center"/>
                </w:tcPr>
                <w:p w14:paraId="24FAB1D6">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both"/>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刚性防渗结构</w:t>
                  </w:r>
                </w:p>
              </w:tc>
              <w:tc>
                <w:tcPr>
                  <w:tcW w:w="3410" w:type="dxa"/>
                  <w:noWrap w:val="0"/>
                  <w:vAlign w:val="center"/>
                </w:tcPr>
                <w:p w14:paraId="768211C8">
                  <w:pPr>
                    <w:keepNext/>
                    <w:keepLines/>
                    <w:pageBreakBefore w:val="0"/>
                    <w:widowControl w:val="0"/>
                    <w:numPr>
                      <w:ilvl w:val="0"/>
                      <w:numId w:val="0"/>
                    </w:numPr>
                    <w:shd w:val="clear"/>
                    <w:kinsoku/>
                    <w:wordWrap/>
                    <w:overflowPunct/>
                    <w:topLinePunct w:val="0"/>
                    <w:autoSpaceDE/>
                    <w:autoSpaceDN/>
                    <w:bidi w:val="0"/>
                    <w:adjustRightInd/>
                    <w:snapToGrid/>
                    <w:spacing w:before="157" w:beforeLines="50"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抗渗混凝土（厚度不宜小于100mm）渗透系数≤1.0×10</w:t>
                  </w:r>
                  <w:r>
                    <w:rPr>
                      <w:rFonts w:hint="default" w:ascii="Times New Roman" w:hAnsi="Times New Roman" w:eastAsia="宋体" w:cs="Times New Roman"/>
                      <w:b w:val="0"/>
                      <w:bCs w:val="0"/>
                      <w:color w:val="000000" w:themeColor="text1"/>
                      <w:kern w:val="2"/>
                      <w:sz w:val="21"/>
                      <w:szCs w:val="21"/>
                      <w:highlight w:val="none"/>
                      <w:vertAlign w:val="superscript"/>
                      <w:lang w:val="en-US" w:eastAsia="zh-CN" w:bidi="ar-SA"/>
                      <w14:textFill>
                        <w14:solidFill>
                          <w14:schemeClr w14:val="tx1"/>
                        </w14:solidFill>
                      </w14:textFill>
                    </w:rPr>
                    <w:t>-8</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cm/s</w:t>
                  </w:r>
                </w:p>
              </w:tc>
            </w:tr>
            <w:tr w14:paraId="4862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489" w:type="dxa"/>
                  <w:noWrap w:val="0"/>
                  <w:vAlign w:val="center"/>
                </w:tcPr>
                <w:p w14:paraId="0159DB63">
                  <w:pPr>
                    <w:keepNext/>
                    <w:keepLines/>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3</w:t>
                  </w:r>
                </w:p>
              </w:tc>
              <w:tc>
                <w:tcPr>
                  <w:tcW w:w="1690" w:type="dxa"/>
                  <w:noWrap w:val="0"/>
                  <w:vAlign w:val="center"/>
                </w:tcPr>
                <w:p w14:paraId="63FD3667">
                  <w:pPr>
                    <w:pStyle w:val="17"/>
                    <w:shd w:val="clear"/>
                    <w:spacing w:line="240" w:lineRule="auto"/>
                    <w:jc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厂区道路</w:t>
                  </w:r>
                </w:p>
              </w:tc>
              <w:tc>
                <w:tcPr>
                  <w:tcW w:w="1031" w:type="dxa"/>
                  <w:noWrap w:val="0"/>
                  <w:vAlign w:val="center"/>
                </w:tcPr>
                <w:p w14:paraId="6A33C67B">
                  <w:pPr>
                    <w:keepNext/>
                    <w:keepLines/>
                    <w:widowControl w:val="0"/>
                    <w:numPr>
                      <w:ilvl w:val="0"/>
                      <w:numId w:val="0"/>
                    </w:numPr>
                    <w:shd w:val="clear"/>
                    <w:spacing w:line="240" w:lineRule="auto"/>
                    <w:jc w:val="center"/>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非污染防治区</w:t>
                  </w:r>
                </w:p>
              </w:tc>
              <w:tc>
                <w:tcPr>
                  <w:tcW w:w="990" w:type="dxa"/>
                  <w:noWrap w:val="0"/>
                  <w:vAlign w:val="center"/>
                </w:tcPr>
                <w:p w14:paraId="75C0D9CA">
                  <w:pPr>
                    <w:keepNext/>
                    <w:keepLines/>
                    <w:pageBreakBefore w:val="0"/>
                    <w:widowControl w:val="0"/>
                    <w:numPr>
                      <w:ilvl w:val="0"/>
                      <w:numId w:val="0"/>
                    </w:numPr>
                    <w:shd w:val="clear"/>
                    <w:kinsoku/>
                    <w:wordWrap/>
                    <w:overflowPunct/>
                    <w:topLinePunct w:val="0"/>
                    <w:autoSpaceDE/>
                    <w:autoSpaceDN/>
                    <w:bidi w:val="0"/>
                    <w:adjustRightInd/>
                    <w:snapToGrid/>
                    <w:spacing w:before="157" w:beforeLines="50"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p>
              </w:tc>
              <w:tc>
                <w:tcPr>
                  <w:tcW w:w="3410" w:type="dxa"/>
                  <w:noWrap w:val="0"/>
                  <w:vAlign w:val="center"/>
                </w:tcPr>
                <w:p w14:paraId="01429C03">
                  <w:pPr>
                    <w:keepNext/>
                    <w:keepLines/>
                    <w:pageBreakBefore w:val="0"/>
                    <w:widowControl w:val="0"/>
                    <w:numPr>
                      <w:ilvl w:val="0"/>
                      <w:numId w:val="0"/>
                    </w:numPr>
                    <w:shd w:val="clear"/>
                    <w:kinsoku/>
                    <w:wordWrap/>
                    <w:overflowPunct/>
                    <w:topLinePunct w:val="0"/>
                    <w:autoSpaceDE/>
                    <w:autoSpaceDN/>
                    <w:bidi w:val="0"/>
                    <w:adjustRightInd/>
                    <w:snapToGrid/>
                    <w:spacing w:before="157" w:beforeLines="50" w:line="240" w:lineRule="auto"/>
                    <w:jc w:val="center"/>
                    <w:textAlignment w:val="auto"/>
                    <w:outlineLvl w:val="2"/>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不需设置专门的防渗层</w:t>
                  </w:r>
                </w:p>
              </w:tc>
            </w:tr>
          </w:tbl>
          <w:p w14:paraId="7F871EFC">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82" w:firstLineChars="200"/>
              <w:jc w:val="both"/>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防渗措施</w:t>
            </w:r>
          </w:p>
          <w:p w14:paraId="23CBED61">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①对车间内排水系统及排水管道和围堰均做防渗处理，需要严格检查容器的严密性和质量情况。</w:t>
            </w:r>
          </w:p>
          <w:p w14:paraId="6B929536">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②项目应设置专门的危废间</w:t>
            </w:r>
            <w:r>
              <w:rPr>
                <w:rFonts w:hint="default" w:ascii="Times New Roman" w:hAnsi="Times New Roman" w:cs="Times New Roman"/>
                <w:b w:val="0"/>
                <w:bCs/>
                <w:color w:val="000000" w:themeColor="text1"/>
                <w:spacing w:val="0"/>
                <w:sz w:val="21"/>
                <w:szCs w:val="21"/>
                <w:highlight w:val="none"/>
                <w:lang w:val="en-US" w:eastAsia="zh-CN"/>
                <w14:textFill>
                  <w14:solidFill>
                    <w14:schemeClr w14:val="tx1"/>
                  </w14:solidFill>
                </w14:textFill>
              </w:rPr>
              <w:t>和围堰</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，严格按照《危险废物贮存污染控制标准》（GB18597—2023）中规定的要求，采取“防渗、防雨、防流失”等措施，设置明显的标识牌</w:t>
            </w:r>
            <w:r>
              <w:rPr>
                <w:rFonts w:hint="default" w:ascii="Times New Roman" w:hAnsi="Times New Roman" w:cs="Times New Roman"/>
                <w:b w:val="0"/>
                <w:bCs/>
                <w:color w:val="000000" w:themeColor="text1"/>
                <w:spacing w:val="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加强危废管理，并做好存放场所的防渗透和泄漏措施，严禁随意倾倒和混入生活垃圾中，避免污染周边环境。</w:t>
            </w:r>
          </w:p>
          <w:p w14:paraId="27061DDD">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instrText xml:space="preserve"> = 3 \* GB3 \* MERGEFORMAT </w:instrTex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③</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fldChar w:fldCharType="end"/>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化学品储存场所采取严格的分区防腐防渗措施，防止因事故消防废水漫流通过下渗污染项目区周围地下水环境，避免对地下水造成环境污染。</w:t>
            </w:r>
          </w:p>
          <w:p w14:paraId="63B4B84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instrText xml:space="preserve"> = 4 \* GB3 \* MERGEFORMAT </w:instrTex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④</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fldChar w:fldCharType="end"/>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针对大气沉降：项目生产过程主要产生</w:t>
            </w:r>
            <w:r>
              <w:rPr>
                <w:rFonts w:hint="eastAsia" w:cs="Times New Roman"/>
                <w:b w:val="0"/>
                <w:bCs/>
                <w:color w:val="000000" w:themeColor="text1"/>
                <w:spacing w:val="0"/>
                <w:sz w:val="21"/>
                <w:szCs w:val="21"/>
                <w:highlight w:val="none"/>
                <w:lang w:val="en-US" w:eastAsia="zh-CN"/>
                <w14:textFill>
                  <w14:solidFill>
                    <w14:schemeClr w14:val="tx1"/>
                  </w14:solidFill>
                </w14:textFill>
              </w:rPr>
              <w:t>压铸、熔融、液化石油气燃烧、脱模、抛光、研磨、机加工、钻孔攻牙</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废气，主要污染物为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r>
              <w:rPr>
                <w:rFonts w:hint="eastAsia" w:cs="Times New Roman"/>
                <w:color w:val="000000" w:themeColor="text1"/>
                <w:sz w:val="21"/>
                <w:szCs w:val="21"/>
                <w:highlight w:val="none"/>
                <w:lang w:val="en-US" w:eastAsia="zh-CN"/>
                <w14:textFill>
                  <w14:solidFill>
                    <w14:schemeClr w14:val="tx1"/>
                  </w14:solidFill>
                </w14:textFill>
              </w:rPr>
              <w:t>TVOC、</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r>
              <w:rPr>
                <w:rFonts w:hint="eastAsia" w:cs="Times New Roman"/>
                <w:color w:val="000000" w:themeColor="text1"/>
                <w:sz w:val="21"/>
                <w:szCs w:val="21"/>
                <w:highlight w:val="none"/>
                <w:lang w:val="en-US" w:eastAsia="zh-CN"/>
                <w14:textFill>
                  <w14:solidFill>
                    <w14:schemeClr w14:val="tx1"/>
                  </w14:solidFill>
                </w14:textFill>
              </w:rPr>
              <w:t>SO</w:t>
            </w:r>
            <w:r>
              <w:rPr>
                <w:rFonts w:hint="eastAsia" w:cs="Times New Roman"/>
                <w:color w:val="000000" w:themeColor="text1"/>
                <w:sz w:val="21"/>
                <w:szCs w:val="21"/>
                <w:highlight w:val="none"/>
                <w:vertAlign w:val="sub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、NO</w:t>
            </w:r>
            <w:r>
              <w:rPr>
                <w:rFonts w:hint="eastAsia" w:cs="Times New Roman"/>
                <w:color w:val="000000" w:themeColor="text1"/>
                <w:sz w:val="21"/>
                <w:szCs w:val="21"/>
                <w:highlight w:val="none"/>
                <w:vertAlign w:val="subscript"/>
                <w:lang w:val="en-US" w:eastAsia="zh-CN"/>
                <w14:textFill>
                  <w14:solidFill>
                    <w14:schemeClr w14:val="tx1"/>
                  </w14:solidFill>
                </w14:textFill>
              </w:rPr>
              <w:t>X</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等</w:t>
            </w:r>
            <w:r>
              <w:rPr>
                <w:rFonts w:hint="eastAsia" w:cs="Times New Roman"/>
                <w:b w:val="0"/>
                <w:bCs/>
                <w:color w:val="000000" w:themeColor="text1"/>
                <w:spacing w:val="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项目熔融、压铸、脱模废气集气罩收集、液化石油气燃烧废气经管道收集，收集后的废气经水喷淋装置处理后排气筒有组织排放；</w:t>
            </w:r>
            <w:r>
              <w:rPr>
                <w:rFonts w:hint="eastAsia" w:cs="Times New Roman"/>
                <w:b w:val="0"/>
                <w:bCs/>
                <w:color w:val="000000" w:themeColor="text1"/>
                <w:spacing w:val="0"/>
                <w:sz w:val="21"/>
                <w:szCs w:val="21"/>
                <w:highlight w:val="none"/>
                <w:lang w:val="en-US" w:eastAsia="zh-CN"/>
                <w14:textFill>
                  <w14:solidFill>
                    <w14:schemeClr w14:val="tx1"/>
                  </w14:solidFill>
                </w14:textFill>
              </w:rPr>
              <w:t>钻孔攻牙</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废气产生的非甲烷总烃和臭气浓度无组织排放；研磨废气产生的颗粒物无组织排放；抛光废气产生的颗粒物无组织排放</w:t>
            </w:r>
            <w:r>
              <w:rPr>
                <w:rFonts w:hint="eastAsia" w:cs="Times New Roman"/>
                <w:b w:val="0"/>
                <w:bCs/>
                <w:color w:val="000000" w:themeColor="text1"/>
                <w:spacing w:val="0"/>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机加工</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废气产生的</w:t>
            </w:r>
            <w:r>
              <w:rPr>
                <w:rFonts w:hint="eastAsia"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非甲烷总烃、臭气浓度和</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颗粒物无组织排放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项目尽可能在源头上减少污染物产生，严格按照国家相关规范要求，加强大气污染控制措施，定期对废气治理设施进行维护和巡查，确保对污染物进行有效治理达标排放。</w:t>
            </w:r>
          </w:p>
          <w:p w14:paraId="3A6AFD84">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⑤加强对废气治理设施的运营与维护工作，定期检修。</w:t>
            </w:r>
          </w:p>
          <w:p w14:paraId="54C99422">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综上，项目拟将采取有效措施对可能产生地下水及土壤影响的各项途径均进行有效预防，在确保各项防渗措施得以落实，并加强维护和环境管理的前提下，可有效控制项目内的污染物下渗现象，避免污染地下水及土壤，因此项目不会对区域地下水及土壤环境产生明显影响。故不设置相关自行监测要求。</w:t>
            </w:r>
          </w:p>
          <w:p w14:paraId="01549478">
            <w:pPr>
              <w:pStyle w:val="32"/>
              <w:keepNext w:val="0"/>
              <w:keepLines w:val="0"/>
              <w:pageBreakBefore w:val="0"/>
              <w:shd w:val="clear"/>
              <w:kinsoku/>
              <w:wordWrap/>
              <w:overflowPunct w:val="0"/>
              <w:topLinePunct w:val="0"/>
              <w:autoSpaceDE w:val="0"/>
              <w:autoSpaceDN w:val="0"/>
              <w:bidi w:val="0"/>
              <w:adjustRightInd/>
              <w:snapToGrid w:val="0"/>
              <w:spacing w:after="0" w:line="360" w:lineRule="auto"/>
              <w:ind w:left="0" w:leftChars="0" w:firstLine="422"/>
              <w:jc w:val="both"/>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六、环境风险分析</w:t>
            </w:r>
          </w:p>
          <w:p w14:paraId="1C617D6C">
            <w:pPr>
              <w:pStyle w:val="24"/>
              <w:keepNext w:val="0"/>
              <w:keepLines w:val="0"/>
              <w:pageBreakBefore w:val="0"/>
              <w:widowControl w:val="0"/>
              <w:numPr>
                <w:ilvl w:val="0"/>
                <w:numId w:val="0"/>
              </w:numPr>
              <w:shd w:val="clear"/>
              <w:kinsoku/>
              <w:wordWrap/>
              <w:overflowPunct w:val="0"/>
              <w:topLinePunct w:val="0"/>
              <w:autoSpaceDE w:val="0"/>
              <w:autoSpaceDN w:val="0"/>
              <w:bidi w:val="0"/>
              <w:adjustRightInd/>
              <w:snapToGrid w:val="0"/>
              <w:spacing w:after="0" w:line="360" w:lineRule="auto"/>
              <w:ind w:leftChars="0" w:firstLine="482" w:firstLineChars="200"/>
              <w:jc w:val="both"/>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环境风险潜势初判</w:t>
            </w:r>
          </w:p>
          <w:p w14:paraId="3F6A8DA4">
            <w:pPr>
              <w:pStyle w:val="24"/>
              <w:keepNext w:val="0"/>
              <w:keepLines w:val="0"/>
              <w:pageBreakBefore w:val="0"/>
              <w:widowControl w:val="0"/>
              <w:numPr>
                <w:ilvl w:val="0"/>
                <w:numId w:val="0"/>
              </w:numPr>
              <w:shd w:val="clear"/>
              <w:kinsoku/>
              <w:wordWrap/>
              <w:overflowPunct w:val="0"/>
              <w:topLinePunct w:val="0"/>
              <w:autoSpaceDE w:val="0"/>
              <w:autoSpaceDN w:val="0"/>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根据《建设项目环境风险评价技术导则》（HJ169-2018）表B.1突发环境事件风险物质及临界量、表B.2其他危险物质临界量推荐值，《危险化学品重大危险源辨识》（GB18218-2018）计算所涉及的每种危险物质在厂界内的最大存在总量与其附录B中对应临界量的比值Q。</w:t>
            </w:r>
          </w:p>
          <w:p w14:paraId="299C8B77">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当只涉及一种危险物质时，计算该物质的总量与其临界量比值，即为Q；当存在多种危险物质时，则按照下式计算物质总量与其临界量比值Q：</w:t>
            </w:r>
          </w:p>
          <w:p w14:paraId="6F10643A">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Files\\wxid_wxz7byl00f7212\\FileStorage\\lenovo\\AppData\\documents\\tencent%20files\\379300943\\FileRecv\\AppData\\Roaming\\Microsoft\\AppData\\Local\\Temp\\ksohtml16632\\wps1.jpg"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Files\\wxid_wxz7byl00f7212\\FileStorage\\lenovo\\AppData\\documents\\tencent%20files\\379300943\\FileRecv\\AppData\\Roaming\\Microsoft\\AppData\\Local\\Temp\\ksohtml16632\\wps1.jpg"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Files\\wxid_wxz7byl00f7212\\FileStorage\\lenovo\\AppData\\documents\\tencent%20files\\379300943\\FileRecv\\AppData\\Roaming\\Microsoft\\AppData\\Local\\Temp\\ksohtml16632\\wps1.jpg"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Files\\wxid_wxz7byl00f7212\\FileStorage\\lenovo\\AppData\\documents\\tencent%20files\\379300943\\FileRecv\\AppData\\Roaming\\Microsoft\\AppData\\Local\\Temp\\ksohtml16632\\wps1.jpg"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Files\\wxid_wxz7byl00f7212\\FileStorage\\lenovo\\AppData\\新建文件夹\\绿凌\\18、荣艺灯饰\\documents\\tencent%20files\\379300943\\FileRecv\\AppData\\Roaming\\Microsoft\\AppData\\Local\\Temp\\ksohtml16632\\wps1.jpg"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Files\\wxid_wxz7byl00f7212\\FileStorage\\lenovo\\AppData\\新建文件夹\\绿凌\\18、荣艺灯饰\\documents\\tencent%20files\\379300943\\FileRecv\\AppData\\Roaming\\Microsoft\\AppData\\Local\\Temp\\ksohtml16632\\wps1.jpg"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Files\\wxid_wxz7byl00f7212\\FileStorage\\lenovo\\AppData\\新建文件夹\\绿凌\\18、荣艺灯饰\\documents\\tencent%20files\\379300943\\FileRecv\\AppData\\Roaming\\Microsoft\\AppData\\Local\\Temp\\ksohtml16632\\wps1.jpg"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drawing>
                <wp:inline distT="0" distB="0" distL="114300" distR="114300">
                  <wp:extent cx="1838325" cy="352425"/>
                  <wp:effectExtent l="0" t="0" r="0" b="0"/>
                  <wp:docPr id="129" name="图片 1"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 descr="wps1"/>
                          <pic:cNvPicPr>
                            <a:picLocks noChangeAspect="1"/>
                          </pic:cNvPicPr>
                        </pic:nvPicPr>
                        <pic:blipFill>
                          <a:blip r:embed="rId23"/>
                          <a:stretch>
                            <a:fillRect/>
                          </a:stretch>
                        </pic:blipFill>
                        <pic:spPr>
                          <a:xfrm>
                            <a:off x="0" y="0"/>
                            <a:ext cx="1838325" cy="352425"/>
                          </a:xfrm>
                          <a:prstGeom prst="rect">
                            <a:avLst/>
                          </a:prstGeom>
                          <a:noFill/>
                          <a:ln>
                            <a:noFill/>
                          </a:ln>
                        </pic:spPr>
                      </pic:pic>
                    </a:graphicData>
                  </a:graphic>
                </wp:inline>
              </w:drawing>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ab/>
            </w:r>
          </w:p>
          <w:p w14:paraId="7C427BB9">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式中：</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q</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，q</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Files\\wxid_wxz7byl00f7212\\FileStorage\\lenovo\\AppData\\documents\\tencent%20files\\379300943\\FileRecv\\AppData\\Roaming\\Microsoft\\AppData\\Local\\Temp\\ksohtml16632\\wps2.jpg"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Files\\wxid_wxz7byl00f7212\\FileStorage\\lenovo\\AppData\\documents\\tencent%20files\\379300943\\FileRecv\\AppData\\Roaming\\Microsoft\\AppData\\Local\\Temp\\ksohtml16632\\wps2.jpg"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Files\\wxid_wxz7byl00f7212\\FileStorage\\lenovo\\AppData\\documents\\tencent%20files\\379300943\\FileRecv\\AppData\\Roaming\\Microsoft\\AppData\\Local\\Temp\\ksohtml16632\\wps2.jpg"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Files\\wxid_wxz7byl00f7212\\FileStorage\\lenovo\\AppData\\documents\\tencent%20files\\379300943\\FileRecv\\AppData\\Roaming\\Microsoft\\AppData\\Local\\Temp\\ksohtml16632\\wps2.jpg"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Files\\wxid_wxz7byl00f7212\\FileStorage\\lenovo\\AppData\\新建文件夹\\绿凌\\18、荣艺灯饰\\documents\\tencent%20files\\379300943\\FileRecv\\AppData\\Roaming\\Microsoft\\AppData\\Local\\Temp\\ksohtml16632\\wps2.jpg"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Files\\wxid_wxz7byl00f7212\\FileStorage\\lenovo\\AppData\\新建文件夹\\绿凌\\18、荣艺灯饰\\documents\\tencent%20files\\379300943\\FileRecv\\AppData\\Roaming\\Microsoft\\AppData\\Local\\Temp\\ksohtml16632\\wps2.jpg"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Files\\wxid_wxz7byl00f7212\\FileStorage\\lenovo\\AppData\\新建文件夹\\绿凌\\18、荣艺灯饰\\documents\\tencent%20files\\379300943\\FileRecv\\AppData\\Roaming\\Microsoft\\AppData\\Local\\Temp\\ksohtml16632\\wps2.jpg"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drawing>
                <wp:inline distT="0" distB="0" distL="114300" distR="114300">
                  <wp:extent cx="533400" cy="361950"/>
                  <wp:effectExtent l="0" t="0" r="0" b="0"/>
                  <wp:docPr id="130" name="图片 2" descr="wp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 descr="wps3"/>
                          <pic:cNvPicPr>
                            <a:picLocks noChangeAspect="1"/>
                          </pic:cNvPicPr>
                        </pic:nvPicPr>
                        <pic:blipFill>
                          <a:blip r:embed="rId24"/>
                          <a:stretch>
                            <a:fillRect/>
                          </a:stretch>
                        </pic:blipFill>
                        <pic:spPr>
                          <a:xfrm>
                            <a:off x="0" y="0"/>
                            <a:ext cx="533400" cy="361950"/>
                          </a:xfrm>
                          <a:prstGeom prst="rect">
                            <a:avLst/>
                          </a:prstGeom>
                          <a:noFill/>
                          <a:ln>
                            <a:noFill/>
                          </a:ln>
                        </pic:spPr>
                      </pic:pic>
                    </a:graphicData>
                  </a:graphic>
                </wp:inline>
              </w:drawing>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q</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n</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--每种危险物质实际存在量，t。</w:t>
            </w:r>
          </w:p>
          <w:p w14:paraId="67EAB4D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Q</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，Q</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Files\\wxid_wxz7byl00f7212\\FileStorage\\lenovo\\AppData\\documents\\tencent%20files\\379300943\\FileRecv\\AppData\\Roaming\\Microsoft\\AppData\\Local\\Temp\\ksohtml16632\\wps3.jpg"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Files\\wxid_wxz7byl00f7212\\FileStorage\\lenovo\\AppData\\documents\\tencent%20files\\379300943\\FileRecv\\AppData\\Roaming\\Microsoft\\AppData\\Local\\Temp\\ksohtml16632\\wps3.jpg"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Files\\wxid_wxz7byl00f7212\\FileStorage\\lenovo\\AppData\\documents\\tencent%20files\\379300943\\FileRecv\\AppData\\Roaming\\Microsoft\\AppData\\Local\\Temp\\ksohtml16632\\wps3.jpg"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Files\\wxid_wxz7byl00f7212\\FileStorage\\lenovo\\AppData\\documents\\tencent%20files\\379300943\\FileRecv\\AppData\\Roaming\\Microsoft\\AppData\\Local\\Temp\\ksohtml16632\\wps3.jpg"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Files\\wxid_wxz7byl00f7212\\FileStorage\\lenovo\\AppData\\新建文件夹\\绿凌\\18、荣艺灯饰\\documents\\tencent%20files\\379300943\\FileRecv\\AppData\\Roaming\\Microsoft\\AppData\\Local\\Temp\\ksohtml16632\\wps3.jpg"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Files\\wxid_wxz7byl00f7212\\FileStorage\\lenovo\\AppData\\新建文件夹\\绿凌\\18、荣艺灯饰\\documents\\tencent%20files\\379300943\\FileRecv\\AppData\\Roaming\\Microsoft\\AppData\\Local\\Temp\\ksohtml16632\\wps3.jpg"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INCLUDEPICTURE "D:\\Backup\\Documents\\WeChat Files\\wxid_wxz7byl00f7212\\FileStorage\\lenovo\\AppData\\新建文件夹\\绿凌\\18、荣艺灯饰\\documents\\tencent%20files\\379300943\\FileRecv\\AppData\\Roaming\\Microsoft\\AppData\\Local\\Temp\\ksohtml16632\\wps3.jpg"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drawing>
                <wp:inline distT="0" distB="0" distL="114300" distR="114300">
                  <wp:extent cx="314325" cy="200025"/>
                  <wp:effectExtent l="0" t="0" r="0" b="0"/>
                  <wp:docPr id="131" name="图片 3" descr="wp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 descr="wps3"/>
                          <pic:cNvPicPr>
                            <a:picLocks noChangeAspect="1"/>
                          </pic:cNvPicPr>
                        </pic:nvPicPr>
                        <pic:blipFill>
                          <a:blip r:embed="rId24"/>
                          <a:stretch>
                            <a:fillRect/>
                          </a:stretch>
                        </pic:blipFill>
                        <pic:spPr>
                          <a:xfrm>
                            <a:off x="0" y="0"/>
                            <a:ext cx="314325" cy="200025"/>
                          </a:xfrm>
                          <a:prstGeom prst="rect">
                            <a:avLst/>
                          </a:prstGeom>
                          <a:noFill/>
                          <a:ln>
                            <a:noFill/>
                          </a:ln>
                        </pic:spPr>
                      </pic:pic>
                    </a:graphicData>
                  </a:graphic>
                </wp:inline>
              </w:drawing>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Q</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SA"/>
                <w14:textFill>
                  <w14:solidFill>
                    <w14:schemeClr w14:val="tx1"/>
                  </w14:solidFill>
                </w14:textFill>
              </w:rPr>
              <w:t>n</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—每种危险物质的临界量，t。</w:t>
            </w:r>
          </w:p>
          <w:p w14:paraId="53AA659B">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当Q＜1时，该项目环境风险潜势为Ⅰ。</w:t>
            </w:r>
          </w:p>
          <w:p w14:paraId="0A3D5E55">
            <w:pPr>
              <w:pStyle w:val="24"/>
              <w:keepNext w:val="0"/>
              <w:keepLines w:val="0"/>
              <w:pageBreakBefore w:val="0"/>
              <w:widowControl w:val="0"/>
              <w:numPr>
                <w:ilvl w:val="0"/>
                <w:numId w:val="0"/>
              </w:numPr>
              <w:shd w:val="clear"/>
              <w:kinsoku/>
              <w:wordWrap/>
              <w:overflowPunct/>
              <w:topLinePunct w:val="0"/>
              <w:autoSpaceDE/>
              <w:autoSpaceDN/>
              <w:bidi w:val="0"/>
              <w:adjustRightInd/>
              <w:snapToGrid w:val="0"/>
              <w:spacing w:after="0" w:line="360" w:lineRule="auto"/>
              <w:ind w:leftChars="0" w:firstLine="420" w:firstLineChars="200"/>
              <w:jc w:val="both"/>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当Q≥1时，将Q值划分为：（1）1≤Q＜10；（2）10≤Q＜100；（3）Q≥100。</w:t>
            </w:r>
          </w:p>
          <w:p w14:paraId="34163F2E">
            <w:pPr>
              <w:widowControl/>
              <w:numPr>
                <w:ilvl w:val="0"/>
                <w:numId w:val="0"/>
              </w:numPr>
              <w:shd w:val="clear"/>
              <w:spacing w:line="240" w:lineRule="auto"/>
              <w:ind w:left="0" w:leftChars="0" w:firstLine="0" w:firstLineChars="0"/>
              <w:contextualSpacing/>
              <w:jc w:val="center"/>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表</w:t>
            </w:r>
            <w:r>
              <w:rPr>
                <w:rFonts w:hint="eastAsia" w:cs="Times New Roman"/>
                <w:b/>
                <w:bCs/>
                <w:color w:val="000000" w:themeColor="text1"/>
                <w:kern w:val="2"/>
                <w:sz w:val="24"/>
                <w:szCs w:val="24"/>
                <w:highlight w:val="none"/>
                <w:lang w:val="en-US" w:eastAsia="zh-CN" w:bidi="ar-SA"/>
                <w14:textFill>
                  <w14:solidFill>
                    <w14:schemeClr w14:val="tx1"/>
                  </w14:solidFill>
                </w14:textFill>
              </w:rPr>
              <w:t>46</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项目危险</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物质</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及临界值情况一览表</w:t>
            </w:r>
          </w:p>
          <w:tbl>
            <w:tblPr>
              <w:tblStyle w:val="33"/>
              <w:tblW w:w="42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1839"/>
              <w:gridCol w:w="2035"/>
              <w:gridCol w:w="1305"/>
              <w:gridCol w:w="1564"/>
            </w:tblGrid>
            <w:tr w14:paraId="5888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64" w:type="pct"/>
                  <w:noWrap w:val="0"/>
                  <w:vAlign w:val="center"/>
                </w:tcPr>
                <w:p w14:paraId="6DD03A21">
                  <w:pPr>
                    <w:shd w:val="clear"/>
                    <w:autoSpaceDE w:val="0"/>
                    <w:autoSpaceDN w:val="0"/>
                    <w:adjustRightInd w:val="0"/>
                    <w:snapToGrid w:val="0"/>
                    <w:spacing w:line="240" w:lineRule="auto"/>
                    <w:ind w:left="-105" w:leftChars="-50" w:right="-105" w:rightChars="-50"/>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序号</w:t>
                  </w:r>
                </w:p>
              </w:tc>
              <w:tc>
                <w:tcPr>
                  <w:tcW w:w="1264" w:type="pct"/>
                  <w:noWrap w:val="0"/>
                  <w:vAlign w:val="center"/>
                </w:tcPr>
                <w:p w14:paraId="77CE2B16">
                  <w:pPr>
                    <w:shd w:val="clear"/>
                    <w:autoSpaceDE w:val="0"/>
                    <w:autoSpaceDN w:val="0"/>
                    <w:adjustRightInd w:val="0"/>
                    <w:snapToGrid w:val="0"/>
                    <w:spacing w:line="240" w:lineRule="auto"/>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eastAsia" w:cs="Times New Roman"/>
                      <w:b/>
                      <w:bCs/>
                      <w:color w:val="000000" w:themeColor="text1"/>
                      <w:szCs w:val="21"/>
                      <w:highlight w:val="none"/>
                      <w:lang w:val="en-US" w:eastAsia="zh-CN"/>
                      <w14:textFill>
                        <w14:solidFill>
                          <w14:schemeClr w14:val="tx1"/>
                        </w14:solidFill>
                      </w14:textFill>
                    </w:rPr>
                    <w:t>风险物质</w:t>
                  </w:r>
                  <w:r>
                    <w:rPr>
                      <w:rFonts w:hint="default" w:ascii="Times New Roman" w:hAnsi="Times New Roman" w:eastAsia="宋体" w:cs="Times New Roman"/>
                      <w:b/>
                      <w:bCs/>
                      <w:color w:val="000000" w:themeColor="text1"/>
                      <w:szCs w:val="21"/>
                      <w:highlight w:val="none"/>
                      <w14:textFill>
                        <w14:solidFill>
                          <w14:schemeClr w14:val="tx1"/>
                        </w14:solidFill>
                      </w14:textFill>
                    </w:rPr>
                    <w:t>名称</w:t>
                  </w:r>
                </w:p>
              </w:tc>
              <w:tc>
                <w:tcPr>
                  <w:tcW w:w="1399" w:type="pct"/>
                  <w:noWrap w:val="0"/>
                  <w:vAlign w:val="center"/>
                </w:tcPr>
                <w:p w14:paraId="0513A983">
                  <w:pPr>
                    <w:shd w:val="clear"/>
                    <w:autoSpaceDE w:val="0"/>
                    <w:autoSpaceDN w:val="0"/>
                    <w:adjustRightInd w:val="0"/>
                    <w:snapToGrid w:val="0"/>
                    <w:spacing w:line="240" w:lineRule="auto"/>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最大贮存量</w:t>
                  </w: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q</w:t>
                  </w:r>
                  <w:r>
                    <w:rPr>
                      <w:rFonts w:hint="default" w:ascii="Times New Roman" w:hAnsi="Times New Roman" w:eastAsia="宋体" w:cs="Times New Roman"/>
                      <w:b/>
                      <w:bCs/>
                      <w:color w:val="000000" w:themeColor="text1"/>
                      <w:szCs w:val="21"/>
                      <w:highlight w:val="none"/>
                      <w14:textFill>
                        <w14:solidFill>
                          <w14:schemeClr w14:val="tx1"/>
                        </w14:solidFill>
                      </w14:textFill>
                    </w:rPr>
                    <w:t>（t）</w:t>
                  </w:r>
                </w:p>
              </w:tc>
              <w:tc>
                <w:tcPr>
                  <w:tcW w:w="897" w:type="pct"/>
                  <w:noWrap w:val="0"/>
                  <w:vAlign w:val="center"/>
                </w:tcPr>
                <w:p w14:paraId="068FE21A">
                  <w:pPr>
                    <w:shd w:val="clear"/>
                    <w:autoSpaceDE w:val="0"/>
                    <w:autoSpaceDN w:val="0"/>
                    <w:adjustRightInd w:val="0"/>
                    <w:snapToGrid w:val="0"/>
                    <w:spacing w:line="240" w:lineRule="auto"/>
                    <w:jc w:val="cente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临界</w:t>
                  </w: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量Q（t）</w:t>
                  </w:r>
                </w:p>
              </w:tc>
              <w:tc>
                <w:tcPr>
                  <w:tcW w:w="1075" w:type="pct"/>
                  <w:noWrap w:val="0"/>
                  <w:vAlign w:val="center"/>
                </w:tcPr>
                <w:p w14:paraId="43402995">
                  <w:pPr>
                    <w:shd w:val="clear"/>
                    <w:autoSpaceDE w:val="0"/>
                    <w:autoSpaceDN w:val="0"/>
                    <w:adjustRightInd w:val="0"/>
                    <w:snapToGrid w:val="0"/>
                    <w:spacing w:line="240" w:lineRule="auto"/>
                    <w:jc w:val="cente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q/Q</w:t>
                  </w:r>
                </w:p>
              </w:tc>
            </w:tr>
            <w:tr w14:paraId="14F3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64" w:type="pct"/>
                  <w:noWrap w:val="0"/>
                  <w:vAlign w:val="center"/>
                </w:tcPr>
                <w:p w14:paraId="6DDEC72A">
                  <w:pPr>
                    <w:pStyle w:val="71"/>
                    <w:shd w:val="clear"/>
                    <w:adjustRightInd w:val="0"/>
                    <w:snapToGrid w:val="0"/>
                    <w:spacing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14:textFill>
                        <w14:solidFill>
                          <w14:schemeClr w14:val="tx1"/>
                        </w14:solidFill>
                      </w14:textFill>
                    </w:rPr>
                    <w:t>1</w:t>
                  </w:r>
                </w:p>
              </w:tc>
              <w:tc>
                <w:tcPr>
                  <w:tcW w:w="1264" w:type="pct"/>
                  <w:noWrap w:val="0"/>
                  <w:vAlign w:val="center"/>
                </w:tcPr>
                <w:p w14:paraId="32D1364C">
                  <w:pPr>
                    <w:widowControl/>
                    <w:shd w:val="clear"/>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机</w:t>
                  </w:r>
                  <w: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t>油</w:t>
                  </w:r>
                </w:p>
              </w:tc>
              <w:tc>
                <w:tcPr>
                  <w:tcW w:w="1399" w:type="pct"/>
                  <w:noWrap w:val="0"/>
                  <w:vAlign w:val="center"/>
                </w:tcPr>
                <w:p w14:paraId="240DED6A">
                  <w:pPr>
                    <w:pStyle w:val="71"/>
                    <w:shd w:val="clea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zh-CN"/>
                      <w14:textFill>
                        <w14:solidFill>
                          <w14:schemeClr w14:val="tx1"/>
                        </w14:solidFill>
                      </w14:textFill>
                    </w:rPr>
                    <w:t>0.1</w:t>
                  </w:r>
                </w:p>
              </w:tc>
              <w:tc>
                <w:tcPr>
                  <w:tcW w:w="897" w:type="pct"/>
                  <w:noWrap w:val="0"/>
                  <w:vAlign w:val="center"/>
                </w:tcPr>
                <w:p w14:paraId="279C902B">
                  <w:pPr>
                    <w:pStyle w:val="71"/>
                    <w:shd w:val="clear"/>
                    <w:adjustRightInd w:val="0"/>
                    <w:snapToGrid w:val="0"/>
                    <w:spacing w:line="240" w:lineRule="auto"/>
                    <w:jc w:val="center"/>
                    <w:rPr>
                      <w:rFonts w:hint="default" w:ascii="Times New Roman" w:hAnsi="Times New Roman" w:eastAsia="宋体" w:cs="Times New Roman"/>
                      <w:color w:val="000000" w:themeColor="text1"/>
                      <w:kern w:val="2"/>
                      <w:position w:val="2"/>
                      <w:sz w:val="21"/>
                      <w:szCs w:val="21"/>
                      <w:highlight w:val="none"/>
                      <w:lang w:val="en-US" w:eastAsia="zh-CN" w:bidi="zh-CN"/>
                      <w14:textFill>
                        <w14:solidFill>
                          <w14:schemeClr w14:val="tx1"/>
                        </w14:solidFill>
                      </w14:textFill>
                    </w:rPr>
                  </w:pPr>
                  <w:r>
                    <w:rPr>
                      <w:rFonts w:hint="default" w:ascii="Times New Roman" w:hAnsi="Times New Roman" w:eastAsia="宋体" w:cs="Times New Roman"/>
                      <w:color w:val="000000" w:themeColor="text1"/>
                      <w:position w:val="2"/>
                      <w:szCs w:val="21"/>
                      <w:highlight w:val="none"/>
                      <w:lang w:val="en-US" w:eastAsia="zh-CN"/>
                      <w14:textFill>
                        <w14:solidFill>
                          <w14:schemeClr w14:val="tx1"/>
                        </w14:solidFill>
                      </w14:textFill>
                    </w:rPr>
                    <w:t>2500</w:t>
                  </w:r>
                </w:p>
              </w:tc>
              <w:tc>
                <w:tcPr>
                  <w:tcW w:w="1075" w:type="pct"/>
                  <w:noWrap w:val="0"/>
                  <w:vAlign w:val="center"/>
                </w:tcPr>
                <w:p w14:paraId="3DA11F44">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color w:val="000000" w:themeColor="text1"/>
                      <w:kern w:val="2"/>
                      <w:sz w:val="21"/>
                      <w:szCs w:val="21"/>
                      <w:highlight w:val="none"/>
                      <w:lang w:val="en-US" w:eastAsia="zh-CN" w:bidi="zh-CN"/>
                      <w14:textFill>
                        <w14:solidFill>
                          <w14:schemeClr w14:val="tx1"/>
                        </w14:solidFill>
                      </w14:textFill>
                    </w:rPr>
                    <w:t>0.00004</w:t>
                  </w:r>
                </w:p>
              </w:tc>
            </w:tr>
            <w:tr w14:paraId="677C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64" w:type="pct"/>
                  <w:noWrap w:val="0"/>
                  <w:vAlign w:val="center"/>
                </w:tcPr>
                <w:p w14:paraId="61E5E39F">
                  <w:pPr>
                    <w:pStyle w:val="71"/>
                    <w:shd w:val="clear"/>
                    <w:adjustRightInd w:val="0"/>
                    <w:snapToGrid w:val="0"/>
                    <w:spacing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14:textFill>
                        <w14:solidFill>
                          <w14:schemeClr w14:val="tx1"/>
                        </w14:solidFill>
                      </w14:textFill>
                    </w:rPr>
                    <w:t>2</w:t>
                  </w:r>
                </w:p>
              </w:tc>
              <w:tc>
                <w:tcPr>
                  <w:tcW w:w="1264" w:type="pct"/>
                  <w:noWrap w:val="0"/>
                  <w:vAlign w:val="center"/>
                </w:tcPr>
                <w:p w14:paraId="327E11AE">
                  <w:pPr>
                    <w:widowControl/>
                    <w:shd w:val="clear"/>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t>废</w:t>
                  </w:r>
                  <w:r>
                    <w:rPr>
                      <w:rFonts w:hint="eastAsia" w:cs="Times New Roman"/>
                      <w:color w:val="000000" w:themeColor="text1"/>
                      <w:kern w:val="0"/>
                      <w:szCs w:val="21"/>
                      <w:highlight w:val="none"/>
                      <w:lang w:val="en-US" w:eastAsia="zh-CN" w:bidi="ar"/>
                      <w14:textFill>
                        <w14:solidFill>
                          <w14:schemeClr w14:val="tx1"/>
                        </w14:solidFill>
                      </w14:textFill>
                    </w:rPr>
                    <w:t>机</w:t>
                  </w:r>
                  <w: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t>油</w:t>
                  </w:r>
                </w:p>
              </w:tc>
              <w:tc>
                <w:tcPr>
                  <w:tcW w:w="1399" w:type="pct"/>
                  <w:noWrap w:val="0"/>
                  <w:vAlign w:val="center"/>
                </w:tcPr>
                <w:p w14:paraId="68277F6A">
                  <w:pPr>
                    <w:pStyle w:val="71"/>
                    <w:shd w:val="clea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zh-CN"/>
                      <w14:textFill>
                        <w14:solidFill>
                          <w14:schemeClr w14:val="tx1"/>
                        </w14:solidFill>
                      </w14:textFill>
                    </w:rPr>
                    <w:t>0.1</w:t>
                  </w:r>
                </w:p>
              </w:tc>
              <w:tc>
                <w:tcPr>
                  <w:tcW w:w="897" w:type="pct"/>
                  <w:noWrap w:val="0"/>
                  <w:vAlign w:val="center"/>
                </w:tcPr>
                <w:p w14:paraId="5331C012">
                  <w:pPr>
                    <w:shd w:val="clear"/>
                    <w:adjustRightInd w:val="0"/>
                    <w:snapToGrid w:val="0"/>
                    <w:spacing w:line="240" w:lineRule="auto"/>
                    <w:jc w:val="center"/>
                    <w:rPr>
                      <w:rFonts w:hint="default" w:ascii="Times New Roman" w:hAnsi="Times New Roman" w:eastAsia="宋体" w:cs="Times New Roman"/>
                      <w:color w:val="000000" w:themeColor="text1"/>
                      <w:kern w:val="2"/>
                      <w:positio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position w:val="2"/>
                      <w:szCs w:val="21"/>
                      <w:highlight w:val="none"/>
                      <w:lang w:val="en-US" w:eastAsia="zh-CN"/>
                      <w14:textFill>
                        <w14:solidFill>
                          <w14:schemeClr w14:val="tx1"/>
                        </w14:solidFill>
                      </w14:textFill>
                    </w:rPr>
                    <w:t>2500</w:t>
                  </w:r>
                </w:p>
              </w:tc>
              <w:tc>
                <w:tcPr>
                  <w:tcW w:w="1075" w:type="pct"/>
                  <w:noWrap w:val="0"/>
                  <w:vAlign w:val="center"/>
                </w:tcPr>
                <w:p w14:paraId="6CF25D00">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color w:val="000000" w:themeColor="text1"/>
                      <w:kern w:val="2"/>
                      <w:sz w:val="21"/>
                      <w:szCs w:val="21"/>
                      <w:highlight w:val="none"/>
                      <w:lang w:val="en-US" w:eastAsia="zh-CN" w:bidi="zh-CN"/>
                      <w14:textFill>
                        <w14:solidFill>
                          <w14:schemeClr w14:val="tx1"/>
                        </w14:solidFill>
                      </w14:textFill>
                    </w:rPr>
                    <w:t>0.00004</w:t>
                  </w:r>
                </w:p>
              </w:tc>
            </w:tr>
            <w:tr w14:paraId="5E70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64" w:type="pct"/>
                  <w:shd w:val="clear" w:color="auto" w:fill="auto"/>
                  <w:noWrap w:val="0"/>
                  <w:vAlign w:val="center"/>
                </w:tcPr>
                <w:p w14:paraId="3208F701">
                  <w:pPr>
                    <w:pStyle w:val="71"/>
                    <w:shd w:val="clea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3</w:t>
                  </w:r>
                </w:p>
              </w:tc>
              <w:tc>
                <w:tcPr>
                  <w:tcW w:w="1264" w:type="pct"/>
                  <w:noWrap w:val="0"/>
                  <w:vAlign w:val="center"/>
                </w:tcPr>
                <w:p w14:paraId="781075A7">
                  <w:pPr>
                    <w:widowControl/>
                    <w:shd w:val="clear"/>
                    <w:spacing w:line="240" w:lineRule="auto"/>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火花油</w:t>
                  </w:r>
                </w:p>
              </w:tc>
              <w:tc>
                <w:tcPr>
                  <w:tcW w:w="1399" w:type="pct"/>
                  <w:noWrap w:val="0"/>
                  <w:vAlign w:val="center"/>
                </w:tcPr>
                <w:p w14:paraId="47CEFE45">
                  <w:pPr>
                    <w:pStyle w:val="71"/>
                    <w:shd w:val="clea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zh-CN"/>
                      <w14:textFill>
                        <w14:solidFill>
                          <w14:schemeClr w14:val="tx1"/>
                        </w14:solidFill>
                      </w14:textFill>
                    </w:rPr>
                    <w:t>0.22</w:t>
                  </w:r>
                </w:p>
              </w:tc>
              <w:tc>
                <w:tcPr>
                  <w:tcW w:w="897" w:type="pct"/>
                  <w:noWrap w:val="0"/>
                  <w:vAlign w:val="center"/>
                </w:tcPr>
                <w:p w14:paraId="4F694A69">
                  <w:pPr>
                    <w:shd w:val="clear"/>
                    <w:adjustRightInd w:val="0"/>
                    <w:snapToGrid w:val="0"/>
                    <w:spacing w:line="240" w:lineRule="auto"/>
                    <w:jc w:val="center"/>
                    <w:rPr>
                      <w:rFonts w:hint="default" w:ascii="Times New Roman" w:hAnsi="Times New Roman" w:eastAsia="宋体" w:cs="Times New Roman"/>
                      <w:color w:val="000000" w:themeColor="text1"/>
                      <w:position w:val="2"/>
                      <w:szCs w:val="21"/>
                      <w:highlight w:val="none"/>
                      <w:lang w:val="en-US" w:eastAsia="zh-CN"/>
                      <w14:textFill>
                        <w14:solidFill>
                          <w14:schemeClr w14:val="tx1"/>
                        </w14:solidFill>
                      </w14:textFill>
                    </w:rPr>
                  </w:pPr>
                  <w:r>
                    <w:rPr>
                      <w:rFonts w:hint="eastAsia" w:cs="Times New Roman"/>
                      <w:color w:val="000000" w:themeColor="text1"/>
                      <w:position w:val="2"/>
                      <w:szCs w:val="21"/>
                      <w:highlight w:val="none"/>
                      <w:lang w:val="en-US" w:eastAsia="zh-CN"/>
                      <w14:textFill>
                        <w14:solidFill>
                          <w14:schemeClr w14:val="tx1"/>
                        </w14:solidFill>
                      </w14:textFill>
                    </w:rPr>
                    <w:t>2500</w:t>
                  </w:r>
                </w:p>
              </w:tc>
              <w:tc>
                <w:tcPr>
                  <w:tcW w:w="1075" w:type="pct"/>
                  <w:noWrap w:val="0"/>
                  <w:vAlign w:val="center"/>
                </w:tcPr>
                <w:p w14:paraId="554A8FED">
                  <w:pPr>
                    <w:keepNext w:val="0"/>
                    <w:keepLines w:val="0"/>
                    <w:widowControl/>
                    <w:suppressLineNumbers w:val="0"/>
                    <w:shd w:val="clear"/>
                    <w:spacing w:line="240" w:lineRule="auto"/>
                    <w:jc w:val="center"/>
                    <w:textAlignment w:val="center"/>
                    <w:rPr>
                      <w:rFonts w:hint="default"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color w:val="000000" w:themeColor="text1"/>
                      <w:kern w:val="2"/>
                      <w:sz w:val="21"/>
                      <w:szCs w:val="21"/>
                      <w:highlight w:val="none"/>
                      <w:lang w:val="en-US" w:eastAsia="zh-CN" w:bidi="zh-CN"/>
                      <w14:textFill>
                        <w14:solidFill>
                          <w14:schemeClr w14:val="tx1"/>
                        </w14:solidFill>
                      </w14:textFill>
                    </w:rPr>
                    <w:t>0.00008</w:t>
                  </w:r>
                </w:p>
              </w:tc>
            </w:tr>
            <w:tr w14:paraId="36B7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64" w:type="pct"/>
                  <w:shd w:val="clear" w:color="auto" w:fill="auto"/>
                  <w:noWrap w:val="0"/>
                  <w:vAlign w:val="center"/>
                </w:tcPr>
                <w:p w14:paraId="2941F4BF">
                  <w:pPr>
                    <w:pStyle w:val="71"/>
                    <w:shd w:val="clea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4</w:t>
                  </w:r>
                </w:p>
              </w:tc>
              <w:tc>
                <w:tcPr>
                  <w:tcW w:w="1264" w:type="pct"/>
                  <w:noWrap w:val="0"/>
                  <w:vAlign w:val="center"/>
                </w:tcPr>
                <w:p w14:paraId="10BD5327">
                  <w:pPr>
                    <w:widowControl/>
                    <w:shd w:val="clear"/>
                    <w:spacing w:line="240" w:lineRule="auto"/>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废火花油</w:t>
                  </w:r>
                </w:p>
              </w:tc>
              <w:tc>
                <w:tcPr>
                  <w:tcW w:w="1399" w:type="pct"/>
                  <w:noWrap w:val="0"/>
                  <w:vAlign w:val="center"/>
                </w:tcPr>
                <w:p w14:paraId="09ABC1BA">
                  <w:pPr>
                    <w:pStyle w:val="71"/>
                    <w:shd w:val="clea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zh-CN"/>
                      <w14:textFill>
                        <w14:solidFill>
                          <w14:schemeClr w14:val="tx1"/>
                        </w14:solidFill>
                      </w14:textFill>
                    </w:rPr>
                    <w:t>0.044</w:t>
                  </w:r>
                </w:p>
              </w:tc>
              <w:tc>
                <w:tcPr>
                  <w:tcW w:w="897" w:type="pct"/>
                  <w:noWrap w:val="0"/>
                  <w:vAlign w:val="center"/>
                </w:tcPr>
                <w:p w14:paraId="75360368">
                  <w:pPr>
                    <w:shd w:val="clear"/>
                    <w:adjustRightInd w:val="0"/>
                    <w:snapToGrid w:val="0"/>
                    <w:spacing w:line="240" w:lineRule="auto"/>
                    <w:jc w:val="center"/>
                    <w:rPr>
                      <w:rFonts w:hint="default" w:ascii="Times New Roman" w:hAnsi="Times New Roman" w:eastAsia="宋体" w:cs="Times New Roman"/>
                      <w:color w:val="000000" w:themeColor="text1"/>
                      <w:position w:val="2"/>
                      <w:szCs w:val="21"/>
                      <w:highlight w:val="none"/>
                      <w:lang w:val="en-US" w:eastAsia="zh-CN"/>
                      <w14:textFill>
                        <w14:solidFill>
                          <w14:schemeClr w14:val="tx1"/>
                        </w14:solidFill>
                      </w14:textFill>
                    </w:rPr>
                  </w:pPr>
                  <w:r>
                    <w:rPr>
                      <w:rFonts w:hint="eastAsia" w:cs="Times New Roman"/>
                      <w:color w:val="000000" w:themeColor="text1"/>
                      <w:position w:val="2"/>
                      <w:szCs w:val="21"/>
                      <w:highlight w:val="none"/>
                      <w:lang w:val="en-US" w:eastAsia="zh-CN"/>
                      <w14:textFill>
                        <w14:solidFill>
                          <w14:schemeClr w14:val="tx1"/>
                        </w14:solidFill>
                      </w14:textFill>
                    </w:rPr>
                    <w:t>2500</w:t>
                  </w:r>
                </w:p>
              </w:tc>
              <w:tc>
                <w:tcPr>
                  <w:tcW w:w="1075" w:type="pct"/>
                  <w:noWrap w:val="0"/>
                  <w:vAlign w:val="center"/>
                </w:tcPr>
                <w:p w14:paraId="3D0E5C19">
                  <w:pPr>
                    <w:keepNext w:val="0"/>
                    <w:keepLines w:val="0"/>
                    <w:widowControl/>
                    <w:suppressLineNumbers w:val="0"/>
                    <w:shd w:val="clear"/>
                    <w:spacing w:line="240" w:lineRule="auto"/>
                    <w:jc w:val="center"/>
                    <w:textAlignment w:val="center"/>
                    <w:rPr>
                      <w:rFonts w:hint="default"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color w:val="000000" w:themeColor="text1"/>
                      <w:kern w:val="2"/>
                      <w:sz w:val="21"/>
                      <w:szCs w:val="21"/>
                      <w:highlight w:val="none"/>
                      <w:lang w:val="en-US" w:eastAsia="zh-CN" w:bidi="zh-CN"/>
                      <w14:textFill>
                        <w14:solidFill>
                          <w14:schemeClr w14:val="tx1"/>
                        </w14:solidFill>
                      </w14:textFill>
                    </w:rPr>
                    <w:t>0.0000176</w:t>
                  </w:r>
                </w:p>
              </w:tc>
            </w:tr>
            <w:tr w14:paraId="163E2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64" w:type="pct"/>
                  <w:shd w:val="clear" w:color="auto" w:fill="auto"/>
                  <w:noWrap w:val="0"/>
                  <w:vAlign w:val="center"/>
                </w:tcPr>
                <w:p w14:paraId="68DA6862">
                  <w:pPr>
                    <w:pStyle w:val="71"/>
                    <w:shd w:val="clear"/>
                    <w:adjustRightInd w:val="0"/>
                    <w:snapToGrid w:val="0"/>
                    <w:spacing w:line="240" w:lineRule="auto"/>
                    <w:jc w:val="center"/>
                    <w:rPr>
                      <w:rFonts w:hint="eastAsia"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5</w:t>
                  </w:r>
                </w:p>
              </w:tc>
              <w:tc>
                <w:tcPr>
                  <w:tcW w:w="1264" w:type="pct"/>
                  <w:noWrap w:val="0"/>
                  <w:vAlign w:val="center"/>
                </w:tcPr>
                <w:p w14:paraId="6C0A81D1">
                  <w:pPr>
                    <w:widowControl/>
                    <w:shd w:val="clear"/>
                    <w:spacing w:line="240" w:lineRule="auto"/>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切削液</w:t>
                  </w:r>
                </w:p>
              </w:tc>
              <w:tc>
                <w:tcPr>
                  <w:tcW w:w="1399" w:type="pct"/>
                  <w:noWrap w:val="0"/>
                  <w:vAlign w:val="center"/>
                </w:tcPr>
                <w:p w14:paraId="7BC06D61">
                  <w:pPr>
                    <w:pStyle w:val="71"/>
                    <w:shd w:val="clear"/>
                    <w:adjustRightInd w:val="0"/>
                    <w:snapToGrid w:val="0"/>
                    <w:spacing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0.2</w:t>
                  </w:r>
                </w:p>
              </w:tc>
              <w:tc>
                <w:tcPr>
                  <w:tcW w:w="897" w:type="pct"/>
                  <w:noWrap w:val="0"/>
                  <w:vAlign w:val="center"/>
                </w:tcPr>
                <w:p w14:paraId="3701A8AA">
                  <w:pPr>
                    <w:shd w:val="clear"/>
                    <w:adjustRightInd w:val="0"/>
                    <w:snapToGrid w:val="0"/>
                    <w:spacing w:line="240" w:lineRule="auto"/>
                    <w:jc w:val="center"/>
                    <w:rPr>
                      <w:rFonts w:hint="default" w:ascii="Times New Roman" w:hAnsi="Times New Roman" w:eastAsia="宋体" w:cs="Times New Roman"/>
                      <w:color w:val="000000" w:themeColor="text1"/>
                      <w:position w:val="2"/>
                      <w:szCs w:val="21"/>
                      <w:highlight w:val="none"/>
                      <w:lang w:val="en-US" w:eastAsia="zh-CN"/>
                      <w14:textFill>
                        <w14:solidFill>
                          <w14:schemeClr w14:val="tx1"/>
                        </w14:solidFill>
                      </w14:textFill>
                    </w:rPr>
                  </w:pPr>
                  <w:r>
                    <w:rPr>
                      <w:rFonts w:hint="eastAsia" w:cs="Times New Roman"/>
                      <w:color w:val="000000" w:themeColor="text1"/>
                      <w:position w:val="2"/>
                      <w:szCs w:val="21"/>
                      <w:highlight w:val="none"/>
                      <w:lang w:val="en-US" w:eastAsia="zh-CN"/>
                      <w14:textFill>
                        <w14:solidFill>
                          <w14:schemeClr w14:val="tx1"/>
                        </w14:solidFill>
                      </w14:textFill>
                    </w:rPr>
                    <w:t>2500</w:t>
                  </w:r>
                </w:p>
              </w:tc>
              <w:tc>
                <w:tcPr>
                  <w:tcW w:w="1075" w:type="pct"/>
                  <w:noWrap w:val="0"/>
                  <w:vAlign w:val="center"/>
                </w:tcPr>
                <w:p w14:paraId="0DC9988A">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color w:val="000000" w:themeColor="text1"/>
                      <w:kern w:val="2"/>
                      <w:sz w:val="21"/>
                      <w:szCs w:val="21"/>
                      <w:highlight w:val="none"/>
                      <w:lang w:val="en-US" w:eastAsia="zh-CN" w:bidi="zh-CN"/>
                      <w14:textFill>
                        <w14:solidFill>
                          <w14:schemeClr w14:val="tx1"/>
                        </w14:solidFill>
                      </w14:textFill>
                    </w:rPr>
                    <w:t>0.00008</w:t>
                  </w:r>
                </w:p>
              </w:tc>
            </w:tr>
            <w:tr w14:paraId="29D6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64" w:type="pct"/>
                  <w:noWrap w:val="0"/>
                  <w:vAlign w:val="center"/>
                </w:tcPr>
                <w:p w14:paraId="51E52507">
                  <w:pPr>
                    <w:pStyle w:val="71"/>
                    <w:shd w:val="clear"/>
                    <w:adjustRightInd w:val="0"/>
                    <w:snapToGrid w:val="0"/>
                    <w:spacing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6</w:t>
                  </w:r>
                </w:p>
              </w:tc>
              <w:tc>
                <w:tcPr>
                  <w:tcW w:w="1264" w:type="pct"/>
                  <w:noWrap w:val="0"/>
                  <w:vAlign w:val="center"/>
                </w:tcPr>
                <w:p w14:paraId="3957F597">
                  <w:pPr>
                    <w:widowControl/>
                    <w:shd w:val="clear"/>
                    <w:spacing w:line="240" w:lineRule="auto"/>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废切削液</w:t>
                  </w:r>
                </w:p>
              </w:tc>
              <w:tc>
                <w:tcPr>
                  <w:tcW w:w="1399" w:type="pct"/>
                  <w:noWrap w:val="0"/>
                  <w:vAlign w:val="center"/>
                </w:tcPr>
                <w:p w14:paraId="664D080A">
                  <w:pPr>
                    <w:pStyle w:val="71"/>
                    <w:shd w:val="clear"/>
                    <w:adjustRightInd w:val="0"/>
                    <w:snapToGrid w:val="0"/>
                    <w:spacing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1.35</w:t>
                  </w:r>
                </w:p>
              </w:tc>
              <w:tc>
                <w:tcPr>
                  <w:tcW w:w="897" w:type="pct"/>
                  <w:noWrap w:val="0"/>
                  <w:vAlign w:val="center"/>
                </w:tcPr>
                <w:p w14:paraId="0D1429D2">
                  <w:pPr>
                    <w:shd w:val="clear"/>
                    <w:adjustRightInd w:val="0"/>
                    <w:snapToGrid w:val="0"/>
                    <w:spacing w:line="240" w:lineRule="auto"/>
                    <w:jc w:val="center"/>
                    <w:rPr>
                      <w:rFonts w:hint="default" w:ascii="Times New Roman" w:hAnsi="Times New Roman" w:eastAsia="宋体" w:cs="Times New Roman"/>
                      <w:color w:val="000000" w:themeColor="text1"/>
                      <w:position w:val="2"/>
                      <w:szCs w:val="21"/>
                      <w:highlight w:val="none"/>
                      <w:lang w:val="en-US" w:eastAsia="zh-CN"/>
                      <w14:textFill>
                        <w14:solidFill>
                          <w14:schemeClr w14:val="tx1"/>
                        </w14:solidFill>
                      </w14:textFill>
                    </w:rPr>
                  </w:pPr>
                  <w:r>
                    <w:rPr>
                      <w:rFonts w:hint="eastAsia" w:cs="Times New Roman"/>
                      <w:color w:val="000000" w:themeColor="text1"/>
                      <w:position w:val="2"/>
                      <w:szCs w:val="21"/>
                      <w:highlight w:val="none"/>
                      <w:lang w:val="en-US" w:eastAsia="zh-CN"/>
                      <w14:textFill>
                        <w14:solidFill>
                          <w14:schemeClr w14:val="tx1"/>
                        </w14:solidFill>
                      </w14:textFill>
                    </w:rPr>
                    <w:t>2500</w:t>
                  </w:r>
                </w:p>
              </w:tc>
              <w:tc>
                <w:tcPr>
                  <w:tcW w:w="1075" w:type="pct"/>
                  <w:noWrap w:val="0"/>
                  <w:vAlign w:val="center"/>
                </w:tcPr>
                <w:p w14:paraId="4DFD2028">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color w:val="000000" w:themeColor="text1"/>
                      <w:kern w:val="2"/>
                      <w:sz w:val="21"/>
                      <w:szCs w:val="21"/>
                      <w:highlight w:val="none"/>
                      <w:lang w:val="en-US" w:eastAsia="zh-CN" w:bidi="zh-CN"/>
                      <w14:textFill>
                        <w14:solidFill>
                          <w14:schemeClr w14:val="tx1"/>
                        </w14:solidFill>
                      </w14:textFill>
                    </w:rPr>
                    <w:t>0.00054</w:t>
                  </w:r>
                </w:p>
              </w:tc>
            </w:tr>
            <w:tr w14:paraId="267AD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64" w:type="pct"/>
                  <w:noWrap w:val="0"/>
                  <w:vAlign w:val="center"/>
                </w:tcPr>
                <w:p w14:paraId="32E55B0D">
                  <w:pPr>
                    <w:pStyle w:val="71"/>
                    <w:shd w:val="clear"/>
                    <w:adjustRightInd w:val="0"/>
                    <w:snapToGrid w:val="0"/>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7</w:t>
                  </w:r>
                </w:p>
              </w:tc>
              <w:tc>
                <w:tcPr>
                  <w:tcW w:w="1264" w:type="pct"/>
                  <w:noWrap w:val="0"/>
                  <w:vAlign w:val="center"/>
                </w:tcPr>
                <w:p w14:paraId="5C569FED">
                  <w:pPr>
                    <w:widowControl/>
                    <w:shd w:val="clear"/>
                    <w:spacing w:line="240" w:lineRule="auto"/>
                    <w:jc w:val="center"/>
                    <w:textAlignment w:val="center"/>
                    <w:rPr>
                      <w:rFonts w:hint="default"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液化石油气</w:t>
                  </w:r>
                </w:p>
              </w:tc>
              <w:tc>
                <w:tcPr>
                  <w:tcW w:w="1399" w:type="pct"/>
                  <w:noWrap w:val="0"/>
                  <w:vAlign w:val="center"/>
                </w:tcPr>
                <w:p w14:paraId="7D64F9DE">
                  <w:pPr>
                    <w:pStyle w:val="71"/>
                    <w:shd w:val="clear"/>
                    <w:adjustRightInd w:val="0"/>
                    <w:snapToGrid w:val="0"/>
                    <w:spacing w:line="240" w:lineRule="auto"/>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0.1</w:t>
                  </w:r>
                </w:p>
              </w:tc>
              <w:tc>
                <w:tcPr>
                  <w:tcW w:w="897" w:type="pct"/>
                  <w:noWrap w:val="0"/>
                  <w:vAlign w:val="center"/>
                </w:tcPr>
                <w:p w14:paraId="6D65E0DA">
                  <w:pPr>
                    <w:shd w:val="clear"/>
                    <w:adjustRightInd w:val="0"/>
                    <w:snapToGrid w:val="0"/>
                    <w:spacing w:line="240" w:lineRule="auto"/>
                    <w:jc w:val="center"/>
                    <w:rPr>
                      <w:rFonts w:hint="default" w:cs="Times New Roman"/>
                      <w:color w:val="000000" w:themeColor="text1"/>
                      <w:position w:val="2"/>
                      <w:szCs w:val="21"/>
                      <w:highlight w:val="none"/>
                      <w:lang w:val="en-US" w:eastAsia="zh-CN"/>
                      <w14:textFill>
                        <w14:solidFill>
                          <w14:schemeClr w14:val="tx1"/>
                        </w14:solidFill>
                      </w14:textFill>
                    </w:rPr>
                  </w:pPr>
                  <w:r>
                    <w:rPr>
                      <w:rFonts w:hint="eastAsia" w:cs="Times New Roman"/>
                      <w:color w:val="000000" w:themeColor="text1"/>
                      <w:position w:val="2"/>
                      <w:szCs w:val="21"/>
                      <w:highlight w:val="none"/>
                      <w:lang w:val="en-US" w:eastAsia="zh-CN"/>
                      <w14:textFill>
                        <w14:solidFill>
                          <w14:schemeClr w14:val="tx1"/>
                        </w14:solidFill>
                      </w14:textFill>
                    </w:rPr>
                    <w:t>10</w:t>
                  </w:r>
                </w:p>
              </w:tc>
              <w:tc>
                <w:tcPr>
                  <w:tcW w:w="1075" w:type="pct"/>
                  <w:noWrap w:val="0"/>
                  <w:vAlign w:val="center"/>
                </w:tcPr>
                <w:p w14:paraId="3A0463F1">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color w:val="000000" w:themeColor="text1"/>
                      <w:kern w:val="2"/>
                      <w:sz w:val="21"/>
                      <w:szCs w:val="21"/>
                      <w:highlight w:val="none"/>
                      <w:lang w:val="en-US" w:eastAsia="zh-CN" w:bidi="zh-CN"/>
                      <w14:textFill>
                        <w14:solidFill>
                          <w14:schemeClr w14:val="tx1"/>
                        </w14:solidFill>
                      </w14:textFill>
                    </w:rPr>
                    <w:t>0.01</w:t>
                  </w:r>
                </w:p>
              </w:tc>
            </w:tr>
            <w:tr w14:paraId="3334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24" w:type="pct"/>
                  <w:gridSpan w:val="4"/>
                  <w:noWrap w:val="0"/>
                  <w:vAlign w:val="center"/>
                </w:tcPr>
                <w:p w14:paraId="4C1F7D54">
                  <w:pPr>
                    <w:shd w:val="clear"/>
                    <w:adjustRightInd w:val="0"/>
                    <w:snapToGrid w:val="0"/>
                    <w:spacing w:line="240" w:lineRule="auto"/>
                    <w:jc w:val="center"/>
                    <w:rPr>
                      <w:rFonts w:hint="default" w:ascii="Times New Roman" w:hAnsi="Times New Roman" w:eastAsia="宋体" w:cs="Times New Roman"/>
                      <w:color w:val="000000" w:themeColor="text1"/>
                      <w:position w:val="2"/>
                      <w:szCs w:val="21"/>
                      <w:highlight w:val="none"/>
                      <w14:textFill>
                        <w14:solidFill>
                          <w14:schemeClr w14:val="tx1"/>
                        </w14:solidFill>
                      </w14:textFill>
                    </w:rPr>
                  </w:pPr>
                  <w:r>
                    <w:rPr>
                      <w:rFonts w:hint="default" w:ascii="Times New Roman" w:hAnsi="Times New Roman" w:eastAsia="宋体" w:cs="Times New Roman"/>
                      <w:color w:val="000000" w:themeColor="text1"/>
                      <w:position w:val="2"/>
                      <w:szCs w:val="21"/>
                      <w:highlight w:val="none"/>
                      <w14:textFill>
                        <w14:solidFill>
                          <w14:schemeClr w14:val="tx1"/>
                        </w14:solidFill>
                      </w14:textFill>
                    </w:rPr>
                    <w:t>Q值合计</w:t>
                  </w:r>
                </w:p>
              </w:tc>
              <w:tc>
                <w:tcPr>
                  <w:tcW w:w="1075" w:type="pct"/>
                  <w:noWrap w:val="0"/>
                  <w:vAlign w:val="center"/>
                </w:tcPr>
                <w:p w14:paraId="57FC2044">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color w:val="000000" w:themeColor="text1"/>
                      <w:kern w:val="2"/>
                      <w:sz w:val="21"/>
                      <w:szCs w:val="21"/>
                      <w:highlight w:val="none"/>
                      <w:lang w:val="en-US" w:eastAsia="zh-CN" w:bidi="zh-CN"/>
                      <w14:textFill>
                        <w14:solidFill>
                          <w14:schemeClr w14:val="tx1"/>
                        </w14:solidFill>
                      </w14:textFill>
                    </w:rPr>
                    <w:t>0.0107976</w:t>
                  </w:r>
                </w:p>
              </w:tc>
            </w:tr>
          </w:tbl>
          <w:p w14:paraId="0B73399D">
            <w:pPr>
              <w:pStyle w:val="14"/>
              <w:keepNext w:val="0"/>
              <w:keepLines w:val="0"/>
              <w:pageBreakBefore w:val="0"/>
              <w:shd w:val="clear"/>
              <w:kinsoku/>
              <w:wordWrap w:val="0"/>
              <w:overflowPunct/>
              <w:topLinePunct w:val="0"/>
              <w:autoSpaceDE/>
              <w:autoSpaceDN/>
              <w:bidi w:val="0"/>
              <w:adjustRightInd w:val="0"/>
              <w:snapToGrid w:val="0"/>
              <w:spacing w:before="0" w:line="360" w:lineRule="auto"/>
              <w:jc w:val="both"/>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由上表可知，各类物质临界量比值总和</w:t>
            </w:r>
            <w:r>
              <w:rPr>
                <w:rFonts w:hint="default" w:ascii="Times New Roman" w:hAnsi="Times New Roman" w:eastAsia="宋体" w:cs="Times New Roman"/>
                <w:color w:val="000000" w:themeColor="text1"/>
                <w:sz w:val="21"/>
                <w:szCs w:val="21"/>
                <w:highlight w:val="none"/>
                <w14:textFill>
                  <w14:solidFill>
                    <w14:schemeClr w14:val="tx1"/>
                  </w14:solidFill>
                </w14:textFill>
              </w:rPr>
              <w:t>Q=</w:t>
            </w:r>
            <w:r>
              <w:rPr>
                <w:rFonts w:hint="eastAsia" w:cs="Times New Roman"/>
                <w:color w:val="000000" w:themeColor="text1"/>
                <w:kern w:val="2"/>
                <w:sz w:val="21"/>
                <w:szCs w:val="21"/>
                <w:highlight w:val="none"/>
                <w:lang w:val="en-US" w:eastAsia="zh-CN" w:bidi="zh-CN"/>
                <w14:textFill>
                  <w14:solidFill>
                    <w14:schemeClr w14:val="tx1"/>
                  </w14:solidFill>
                </w14:textFill>
              </w:rPr>
              <w:t>0.0107976</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项目风险Q值＜1。</w:t>
            </w:r>
          </w:p>
          <w:p w14:paraId="0779958A">
            <w:pPr>
              <w:pStyle w:val="71"/>
              <w:keepNext w:val="0"/>
              <w:keepLines w:val="0"/>
              <w:pageBreakBefore w:val="0"/>
              <w:widowControl w:val="0"/>
              <w:numPr>
                <w:ilvl w:val="0"/>
                <w:numId w:val="9"/>
              </w:numPr>
              <w:shd w:val="clear"/>
              <w:kinsoku/>
              <w:wordWrap/>
              <w:overflowPunct/>
              <w:topLinePunct w:val="0"/>
              <w:autoSpaceDE/>
              <w:autoSpaceDN/>
              <w:bidi w:val="0"/>
              <w:adjustRightInd/>
              <w:spacing w:line="360" w:lineRule="auto"/>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环境风险识别</w:t>
            </w:r>
          </w:p>
          <w:p w14:paraId="31193F46">
            <w:pPr>
              <w:pStyle w:val="4"/>
              <w:pageBreakBefore w:val="0"/>
              <w:widowControl w:val="0"/>
              <w:numPr>
                <w:ilvl w:val="0"/>
                <w:numId w:val="0"/>
              </w:numPr>
              <w:shd w:val="clear"/>
              <w:kinsoku/>
              <w:wordWrap/>
              <w:overflowPunct/>
              <w:topLinePunct w:val="0"/>
              <w:autoSpaceDE/>
              <w:autoSpaceDN/>
              <w:bidi w:val="0"/>
              <w:adjustRightInd/>
              <w:snapToGrid/>
              <w:spacing w:line="360" w:lineRule="auto"/>
              <w:ind w:left="0" w:leftChars="0"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生产过程风险</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影响途径</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p>
          <w:p w14:paraId="563ABCE8">
            <w:pPr>
              <w:pageBreakBefore w:val="0"/>
              <w:widowControl w:val="0"/>
              <w:shd w:val="clea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①液态原辅材料的泄漏对地下水、土壤造成污染，气体扩散对大气造成影响；</w:t>
            </w:r>
          </w:p>
          <w:p w14:paraId="3650E65C">
            <w:pPr>
              <w:pageBreakBefore w:val="0"/>
              <w:widowControl w:val="0"/>
              <w:shd w:val="clea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②单位内的危险废物管理不善，出现与一般固体废弃物混装或散落污染区内环境等，造成危险废物对所涉及区域的空气、地表水、土壤及人群健康造成影响；</w:t>
            </w:r>
          </w:p>
          <w:p w14:paraId="06FFB7ED">
            <w:pPr>
              <w:keepNext w:val="0"/>
              <w:keepLines w:val="0"/>
              <w:pageBreakBefore w:val="0"/>
              <w:widowControl w:val="0"/>
              <w:shd w:val="clear"/>
              <w:kinsoku/>
              <w:wordWrap/>
              <w:overflowPunct/>
              <w:topLinePunct w:val="0"/>
              <w:autoSpaceDE/>
              <w:autoSpaceDN/>
              <w:bidi w:val="0"/>
              <w:adjustRightInd/>
              <w:snapToGrid/>
              <w:spacing w:line="360" w:lineRule="auto"/>
              <w:ind w:left="0" w:firstLine="420" w:firstLineChars="200"/>
              <w:jc w:val="both"/>
              <w:textAlignment w:val="auto"/>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④废气处理设施出现故障或停运，造成废气不达标排放，危害周边区域的空气质量及人群健康的影响；</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废水收集设施管理不当，容器破裂引起泄漏或转移过程操作不规范，导致液体的滴漏可能会对地下水、土壤等造成污染；</w:t>
            </w:r>
          </w:p>
          <w:p w14:paraId="4A610BB6">
            <w:pPr>
              <w:pageBreakBefore w:val="0"/>
              <w:widowControl w:val="0"/>
              <w:shd w:val="clea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⑤由于管理不善导致造成火灾等安全事故，危害工作人员的人身安全，造成巨大的经济损失。</w:t>
            </w:r>
          </w:p>
          <w:p w14:paraId="7E8E3D65">
            <w:pPr>
              <w:pStyle w:val="71"/>
              <w:keepNext w:val="0"/>
              <w:keepLines w:val="0"/>
              <w:pageBreakBefore w:val="0"/>
              <w:widowControl w:val="0"/>
              <w:shd w:val="clear"/>
              <w:kinsoku/>
              <w:wordWrap/>
              <w:overflowPunct/>
              <w:topLinePunct w:val="0"/>
              <w:autoSpaceDE/>
              <w:autoSpaceDN/>
              <w:bidi w:val="0"/>
              <w:adjustRightInd/>
              <w:spacing w:line="360" w:lineRule="auto"/>
              <w:ind w:firstLine="482" w:firstLineChars="200"/>
              <w:jc w:val="both"/>
              <w:textAlignment w:val="auto"/>
              <w:rPr>
                <w:rFonts w:hint="default" w:ascii="Times New Roman" w:hAnsi="Times New Roman" w:eastAsia="宋体" w:cs="Times New Roman"/>
                <w:b/>
                <w:bCs w:val="0"/>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宋体" w:cs="Times New Roman"/>
                <w:b/>
                <w:bCs w:val="0"/>
                <w:color w:val="000000" w:themeColor="text1"/>
                <w:kern w:val="2"/>
                <w:sz w:val="24"/>
                <w:szCs w:val="24"/>
                <w:highlight w:val="none"/>
                <w:lang w:val="zh-CN" w:eastAsia="zh-CN" w:bidi="ar-SA"/>
                <w14:textFill>
                  <w14:solidFill>
                    <w14:schemeClr w14:val="tx1"/>
                  </w14:solidFill>
                </w14:textFill>
              </w:rPr>
              <w:t>事故防范措施：</w:t>
            </w:r>
          </w:p>
          <w:p w14:paraId="37FCD55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①</w:t>
            </w:r>
            <w:r>
              <w:rPr>
                <w:rFonts w:hint="default" w:ascii="Times New Roman" w:hAnsi="Times New Roman" w:eastAsia="宋体" w:cs="Times New Roman"/>
                <w:color w:val="000000" w:themeColor="text1"/>
                <w:sz w:val="21"/>
                <w:szCs w:val="21"/>
                <w:highlight w:val="none"/>
                <w14:textFill>
                  <w14:solidFill>
                    <w14:schemeClr w14:val="tx1"/>
                  </w14:solidFill>
                </w14:textFill>
              </w:rPr>
              <w:t>在车间设立警告牌(严禁烟火)；</w:t>
            </w:r>
          </w:p>
          <w:p w14:paraId="0359FEA4">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both"/>
              <w:textAlignment w:val="auto"/>
              <w:rPr>
                <w:rFonts w:hint="eastAsia"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②化学品存放仓库、废水暂存区、生产车间、危废暂存间仓库</w:t>
            </w:r>
            <w:r>
              <w:rPr>
                <w:rFonts w:hint="default" w:ascii="Times New Roman" w:hAnsi="Times New Roman" w:eastAsia="宋体" w:cs="Times New Roman"/>
                <w:color w:val="000000" w:themeColor="text1"/>
                <w:sz w:val="21"/>
                <w:szCs w:val="21"/>
                <w:highlight w:val="none"/>
                <w14:textFill>
                  <w14:solidFill>
                    <w14:schemeClr w14:val="tx1"/>
                  </w14:solidFill>
                </w14:textFill>
              </w:rPr>
              <w:t>实行定期的巡检制度，及时发现问题，尽快解决；</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生产废水经废水暂存</w:t>
            </w:r>
            <w:r>
              <w:rPr>
                <w:rFonts w:hint="eastAsia" w:cs="Times New Roman"/>
                <w:color w:val="000000" w:themeColor="text1"/>
                <w:sz w:val="21"/>
                <w:szCs w:val="21"/>
                <w:highlight w:val="none"/>
                <w:lang w:val="en-US" w:eastAsia="zh-CN"/>
                <w14:textFill>
                  <w14:solidFill>
                    <w14:schemeClr w14:val="tx1"/>
                  </w14:solidFill>
                </w14:textFill>
              </w:rPr>
              <w:t>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进行储存，周边设置围堰，项目厂区内地面为混凝土硬化地面</w:t>
            </w:r>
            <w:r>
              <w:rPr>
                <w:rFonts w:hint="eastAsia" w:cs="Times New Roman"/>
                <w:color w:val="000000" w:themeColor="text1"/>
                <w:sz w:val="21"/>
                <w:szCs w:val="21"/>
                <w:highlight w:val="none"/>
                <w:lang w:val="zh-CN" w:eastAsia="zh-CN"/>
                <w14:textFill>
                  <w14:solidFill>
                    <w14:schemeClr w14:val="tx1"/>
                  </w14:solidFill>
                </w14:textFill>
              </w:rPr>
              <w:t>。</w:t>
            </w:r>
          </w:p>
          <w:p w14:paraId="3A0BB7D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③</w:t>
            </w:r>
            <w:r>
              <w:rPr>
                <w:rFonts w:hint="default" w:ascii="Times New Roman" w:hAnsi="Times New Roman" w:eastAsia="宋体" w:cs="Times New Roman"/>
                <w:color w:val="000000" w:themeColor="text1"/>
                <w:sz w:val="21"/>
                <w:szCs w:val="21"/>
                <w:highlight w:val="none"/>
                <w14:textFill>
                  <w14:solidFill>
                    <w14:schemeClr w14:val="tx1"/>
                  </w14:solidFill>
                </w14:textFill>
              </w:rPr>
              <w:t>设置独立的危废间。危废应</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设置</w:t>
            </w:r>
            <w:r>
              <w:rPr>
                <w:rFonts w:hint="default" w:ascii="Times New Roman" w:hAnsi="Times New Roman" w:eastAsia="宋体" w:cs="Times New Roman"/>
                <w:color w:val="000000" w:themeColor="text1"/>
                <w:sz w:val="21"/>
                <w:szCs w:val="21"/>
                <w:highlight w:val="none"/>
                <w14:textFill>
                  <w14:solidFill>
                    <w14:schemeClr w14:val="tx1"/>
                  </w14:solidFill>
                </w14:textFill>
              </w:rPr>
              <w:t>防腐措施，并进行分区，设置危险标志，设置围堰</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严格按照</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《危险废物贮存污染控制标准》（GB18597—2023）</w:t>
            </w:r>
            <w:r>
              <w:rPr>
                <w:rFonts w:hint="default" w:ascii="Times New Roman" w:hAnsi="Times New Roman" w:eastAsia="宋体" w:cs="Times New Roman"/>
                <w:color w:val="000000" w:themeColor="text1"/>
                <w:sz w:val="21"/>
                <w:szCs w:val="21"/>
                <w:highlight w:val="none"/>
                <w14:textFill>
                  <w14:solidFill>
                    <w14:schemeClr w14:val="tx1"/>
                  </w14:solidFill>
                </w14:textFill>
              </w:rPr>
              <w:t>中规定的要求，采取“防渗、防雨、防流失”等措施</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p w14:paraId="46857CC7">
            <w:pPr>
              <w:keepNext/>
              <w:keepLines/>
              <w:pageBreakBefore w:val="0"/>
              <w:widowControl w:val="0"/>
              <w:numPr>
                <w:ilvl w:val="0"/>
                <w:numId w:val="0"/>
              </w:numPr>
              <w:shd w:val="clear"/>
              <w:kinsoku/>
              <w:wordWrap/>
              <w:overflowPunct/>
              <w:topLinePunct w:val="0"/>
              <w:autoSpaceDE/>
              <w:autoSpaceDN/>
              <w:bidi w:val="0"/>
              <w:adjustRightInd/>
              <w:snapToGrid/>
              <w:spacing w:line="360" w:lineRule="auto"/>
              <w:ind w:left="0" w:leftChars="0" w:firstLine="420" w:firstLineChars="200"/>
              <w:jc w:val="both"/>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④废气治理设施故障后立即停工，对相关故障设施进行维修，正常运行后才重新生产</w:t>
            </w:r>
            <w:r>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t>并加强检修</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；废水暂存区做好防腐防渗措施，严格按照废水收集设施的操作规程进行规范操作，定时巡视，严禁违章操作；加强废</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气</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收集设施的检修及保养，及时修补各类损坏的附属设备，使设备达到预期的处理效果，同时设置事故废水收集装置及围堰，防止废水排入外环境</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w:t>
            </w:r>
          </w:p>
          <w:p w14:paraId="76391B54">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⑤</w:t>
            </w:r>
            <w:r>
              <w:rPr>
                <w:rFonts w:hint="default" w:ascii="Times New Roman" w:hAnsi="Times New Roman" w:eastAsia="宋体" w:cs="Times New Roman"/>
                <w:color w:val="000000" w:themeColor="text1"/>
                <w:sz w:val="21"/>
                <w:szCs w:val="21"/>
                <w:highlight w:val="none"/>
                <w14:textFill>
                  <w14:solidFill>
                    <w14:schemeClr w14:val="tx1"/>
                  </w14:solidFill>
                </w14:textFill>
              </w:rPr>
              <w:t>对于危险物质的储存，应配备应急的器械和有关用具，如灭火器、沙池、隔板等，并建议在危险物质储存处设置缓坡或地面留有导流槽（或池）</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p w14:paraId="10A11CC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⑥</w:t>
            </w:r>
            <w:r>
              <w:rPr>
                <w:rFonts w:hint="default" w:ascii="Times New Roman" w:hAnsi="Times New Roman" w:eastAsia="宋体" w:cs="Times New Roman"/>
                <w:color w:val="000000" w:themeColor="text1"/>
                <w:sz w:val="21"/>
                <w:szCs w:val="21"/>
                <w:highlight w:val="none"/>
                <w14:textFill>
                  <w14:solidFill>
                    <w14:schemeClr w14:val="tx1"/>
                  </w14:solidFill>
                </w14:textFill>
              </w:rPr>
              <w:t>根据火灾危险性等级和防火、防爆要求，区内建筑物的防火等级均应采用国家现行规范要求按二级耐火等级设计，满足建筑防火要求，凡禁火区均设置明显标志牌，安全出口及安全疏散距离应符合《建筑设计防火规范》</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GBJ16-87</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的要求；建设项目的消防采用独立稳定高压消防供水系统，生产区应配备消防栓灭火系统，消防水管道沿装置及辅助生产设施周围布置，在管道上按照规范要求配置消火栓；项目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厂区雨水总排放口设置雨水闸阀，</w:t>
            </w:r>
            <w:r>
              <w:rPr>
                <w:rFonts w:hint="default" w:ascii="Times New Roman" w:hAnsi="Times New Roman" w:eastAsia="宋体" w:cs="Times New Roman"/>
                <w:color w:val="000000" w:themeColor="text1"/>
                <w:sz w:val="21"/>
                <w:szCs w:val="21"/>
                <w:highlight w:val="none"/>
                <w14:textFill>
                  <w14:solidFill>
                    <w14:schemeClr w14:val="tx1"/>
                  </w14:solidFill>
                </w14:textFill>
              </w:rPr>
              <w:t>厂房进出口均设置缓坡及消防沙袋，项目产生消防事故时，产生的废水均能截留于厂内并设置事故废水收集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和应急储存设施</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14:paraId="01E4DF58">
            <w:pPr>
              <w:shd w:val="clear"/>
              <w:spacing w:line="360" w:lineRule="auto"/>
              <w:ind w:firstLine="420" w:firstLineChars="200"/>
              <w:jc w:val="both"/>
              <w:rPr>
                <w:rFonts w:hint="default" w:ascii="Times New Roman" w:hAnsi="Times New Roman" w:cs="Times New Roman"/>
                <w:color w:val="000000" w:themeColor="text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综上所述，根据项目风险分析，本项目潜在的风险</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主要为</w:t>
            </w:r>
            <w:r>
              <w:rPr>
                <w:rFonts w:hint="eastAsia" w:ascii="宋体" w:hAnsi="宋体" w:eastAsia="宋体" w:cs="宋体"/>
                <w:color w:val="000000" w:themeColor="text1"/>
                <w:kern w:val="0"/>
                <w:sz w:val="21"/>
                <w:szCs w:val="21"/>
                <w:highlight w:val="none"/>
                <w14:textFill>
                  <w14:solidFill>
                    <w14:schemeClr w14:val="tx1"/>
                  </w14:solidFill>
                </w14:textFill>
              </w:rPr>
              <w:t>可燃物质遇明火引发火灾甚至爆炸导致大气、地表水污染</w:t>
            </w: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化学品</w:t>
            </w:r>
            <w:r>
              <w:rPr>
                <w:rFonts w:hint="eastAsia" w:ascii="宋体" w:hAnsi="宋体" w:eastAsia="宋体" w:cs="宋体"/>
                <w:color w:val="000000" w:themeColor="text1"/>
                <w:kern w:val="0"/>
                <w:sz w:val="21"/>
                <w:szCs w:val="21"/>
                <w:highlight w:val="none"/>
                <w14:textFill>
                  <w14:solidFill>
                    <w14:schemeClr w14:val="tx1"/>
                  </w14:solidFill>
                </w14:textFill>
              </w:rPr>
              <w:t>和危险废物</w:t>
            </w:r>
            <w:r>
              <w:rPr>
                <w:rFonts w:hint="eastAsia" w:ascii="宋体" w:hAnsi="宋体" w:eastAsia="宋体" w:cs="宋体"/>
                <w:color w:val="000000" w:themeColor="text1"/>
                <w:kern w:val="0"/>
                <w:sz w:val="21"/>
                <w:szCs w:val="21"/>
                <w:highlight w:val="none"/>
                <w:lang w:eastAsia="zh-CN"/>
                <w14:textFill>
                  <w14:solidFill>
                    <w14:schemeClr w14:val="tx1"/>
                  </w14:solidFill>
                </w14:textFill>
              </w:rPr>
              <w:t>泄漏</w:t>
            </w:r>
            <w:r>
              <w:rPr>
                <w:rFonts w:hint="eastAsia" w:ascii="宋体" w:hAnsi="宋体" w:eastAsia="宋体" w:cs="宋体"/>
                <w:color w:val="000000" w:themeColor="text1"/>
                <w:kern w:val="0"/>
                <w:sz w:val="21"/>
                <w:szCs w:val="21"/>
                <w:highlight w:val="none"/>
                <w14:textFill>
                  <w14:solidFill>
                    <w14:schemeClr w14:val="tx1"/>
                  </w14:solidFill>
                </w14:textFill>
              </w:rPr>
              <w:t>导致地下水、土壤</w:t>
            </w: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大气</w:t>
            </w:r>
            <w:r>
              <w:rPr>
                <w:rFonts w:hint="eastAsia" w:ascii="宋体" w:hAnsi="宋体" w:eastAsia="宋体" w:cs="宋体"/>
                <w:color w:val="000000" w:themeColor="text1"/>
                <w:kern w:val="0"/>
                <w:sz w:val="21"/>
                <w:szCs w:val="21"/>
                <w:highlight w:val="none"/>
                <w14:textFill>
                  <w14:solidFill>
                    <w14:schemeClr w14:val="tx1"/>
                  </w14:solidFill>
                </w14:textFill>
              </w:rPr>
              <w:t>污染</w:t>
            </w: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建设单位在做好上述各项防范措施后，能有效降低项目建设风险事故对环境的影响。因此，在按照本评价要求的风险防范措施建设的前提下，项目运营期的环境风险是可控的。</w:t>
            </w:r>
          </w:p>
        </w:tc>
      </w:tr>
    </w:tbl>
    <w:p w14:paraId="4CB77E69">
      <w:pPr>
        <w:shd w:val="clear"/>
        <w:adjustRightInd w:val="0"/>
        <w:snapToGrid w:val="0"/>
        <w:spacing w:line="360" w:lineRule="auto"/>
        <w:rPr>
          <w:rFonts w:hint="default" w:ascii="Times New Roman" w:hAnsi="Times New Roman" w:eastAsia="宋体" w:cs="Times New Roman"/>
          <w:b/>
          <w:color w:val="000000" w:themeColor="text1"/>
          <w:kern w:val="0"/>
          <w:sz w:val="28"/>
          <w:szCs w:val="28"/>
          <w:highlight w:val="none"/>
          <w14:textFill>
            <w14:solidFill>
              <w14:schemeClr w14:val="tx1"/>
            </w14:solidFill>
          </w14:textFill>
        </w:rPr>
        <w:sectPr>
          <w:pgSz w:w="11907" w:h="16840"/>
          <w:pgMar w:top="1701" w:right="1531" w:bottom="2127" w:left="1531" w:header="851" w:footer="851" w:gutter="0"/>
          <w:pgNumType w:fmt="decimal"/>
          <w:cols w:space="720" w:num="1"/>
          <w:docGrid w:linePitch="312" w:charSpace="0"/>
        </w:sectPr>
      </w:pPr>
    </w:p>
    <w:p w14:paraId="6B2F15E7">
      <w:pPr>
        <w:pStyle w:val="3"/>
        <w:shd w:val="clear"/>
        <w:bidi w:val="0"/>
        <w:jc w:val="center"/>
        <w:rPr>
          <w:rFonts w:hint="default" w:ascii="Times New Roman" w:hAnsi="Times New Roman" w:eastAsia="宋体" w:cs="Times New Roman"/>
          <w:color w:val="000000" w:themeColor="text1"/>
          <w:sz w:val="32"/>
          <w:szCs w:val="32"/>
          <w:highlight w:val="none"/>
          <w14:textFill>
            <w14:solidFill>
              <w14:schemeClr w14:val="tx1"/>
            </w14:solidFill>
          </w14:textFill>
        </w:rPr>
      </w:pPr>
      <w:bookmarkStart w:id="9" w:name="_Toc3574"/>
      <w:r>
        <w:rPr>
          <w:rFonts w:hint="default" w:ascii="Times New Roman" w:hAnsi="Times New Roman" w:eastAsia="宋体" w:cs="Times New Roman"/>
          <w:color w:val="000000" w:themeColor="text1"/>
          <w:sz w:val="32"/>
          <w:szCs w:val="32"/>
          <w:highlight w:val="none"/>
          <w14:textFill>
            <w14:solidFill>
              <w14:schemeClr w14:val="tx1"/>
            </w14:solidFill>
          </w14:textFill>
        </w:rPr>
        <w:t>五、</w:t>
      </w:r>
      <w:bookmarkStart w:id="10" w:name="_Hlk54167917"/>
      <w:r>
        <w:rPr>
          <w:rFonts w:hint="default" w:ascii="Times New Roman" w:hAnsi="Times New Roman" w:eastAsia="宋体" w:cs="Times New Roman"/>
          <w:color w:val="000000" w:themeColor="text1"/>
          <w:sz w:val="32"/>
          <w:szCs w:val="32"/>
          <w:highlight w:val="none"/>
          <w14:textFill>
            <w14:solidFill>
              <w14:schemeClr w14:val="tx1"/>
            </w14:solidFill>
          </w14:textFill>
        </w:rPr>
        <w:t>环境保护措施监督检查清</w:t>
      </w:r>
      <w:bookmarkEnd w:id="10"/>
      <w:r>
        <w:rPr>
          <w:rFonts w:hint="default" w:ascii="Times New Roman" w:hAnsi="Times New Roman" w:eastAsia="宋体" w:cs="Times New Roman"/>
          <w:color w:val="000000" w:themeColor="text1"/>
          <w:sz w:val="32"/>
          <w:szCs w:val="32"/>
          <w:highlight w:val="none"/>
          <w14:textFill>
            <w14:solidFill>
              <w14:schemeClr w14:val="tx1"/>
            </w14:solidFill>
          </w14:textFill>
        </w:rPr>
        <w:t>单</w:t>
      </w:r>
      <w:bookmarkEnd w:id="9"/>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599"/>
        <w:gridCol w:w="1156"/>
        <w:gridCol w:w="1393"/>
        <w:gridCol w:w="1447"/>
        <w:gridCol w:w="2427"/>
      </w:tblGrid>
      <w:tr w14:paraId="427BCD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2A352EF7">
            <w:pPr>
              <w:shd w:val="clear"/>
              <w:adjustRightInd w:val="0"/>
              <w:snapToGrid w:val="0"/>
              <w:spacing w:line="240" w:lineRule="auto"/>
              <w:ind w:firstLine="840"/>
              <w:jc w:val="righ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内容</w:t>
            </w:r>
          </w:p>
          <w:p w14:paraId="143044C3">
            <w:pPr>
              <w:shd w:val="clear"/>
              <w:adjustRightInd w:val="0"/>
              <w:snapToGrid w:val="0"/>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要素</w:t>
            </w:r>
          </w:p>
        </w:tc>
        <w:tc>
          <w:tcPr>
            <w:tcW w:w="1755" w:type="dxa"/>
            <w:gridSpan w:val="2"/>
            <w:noWrap w:val="0"/>
            <w:vAlign w:val="center"/>
          </w:tcPr>
          <w:p w14:paraId="61B35C60">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排放口(编号、名称)/污染源</w:t>
            </w:r>
          </w:p>
        </w:tc>
        <w:tc>
          <w:tcPr>
            <w:tcW w:w="1393" w:type="dxa"/>
            <w:noWrap w:val="0"/>
            <w:vAlign w:val="center"/>
          </w:tcPr>
          <w:p w14:paraId="21BEE071">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污染物项目</w:t>
            </w:r>
          </w:p>
        </w:tc>
        <w:tc>
          <w:tcPr>
            <w:tcW w:w="1447" w:type="dxa"/>
            <w:noWrap w:val="0"/>
            <w:vAlign w:val="center"/>
          </w:tcPr>
          <w:p w14:paraId="01B23ED6">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环境保护措施</w:t>
            </w:r>
          </w:p>
        </w:tc>
        <w:tc>
          <w:tcPr>
            <w:tcW w:w="2427" w:type="dxa"/>
            <w:noWrap w:val="0"/>
            <w:vAlign w:val="center"/>
          </w:tcPr>
          <w:p w14:paraId="28EDF775">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执行标准</w:t>
            </w:r>
          </w:p>
        </w:tc>
      </w:tr>
      <w:tr w14:paraId="54A9C6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778" w:type="dxa"/>
            <w:vMerge w:val="restart"/>
            <w:noWrap w:val="0"/>
            <w:vAlign w:val="center"/>
          </w:tcPr>
          <w:p w14:paraId="3B19002B">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大气环境</w:t>
            </w:r>
          </w:p>
        </w:tc>
        <w:tc>
          <w:tcPr>
            <w:tcW w:w="599" w:type="dxa"/>
            <w:vMerge w:val="restart"/>
            <w:noWrap w:val="0"/>
            <w:vAlign w:val="center"/>
          </w:tcPr>
          <w:p w14:paraId="06FF1D0F">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G1</w:t>
            </w:r>
          </w:p>
        </w:tc>
        <w:tc>
          <w:tcPr>
            <w:tcW w:w="1156" w:type="dxa"/>
            <w:vMerge w:val="restart"/>
            <w:noWrap w:val="0"/>
            <w:vAlign w:val="center"/>
          </w:tcPr>
          <w:p w14:paraId="69FE486D">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pacing w:val="-10"/>
                <w:sz w:val="21"/>
                <w:szCs w:val="21"/>
                <w:highlight w:val="none"/>
                <w:vertAlign w:val="baseline"/>
                <w:lang w:val="en-US" w:eastAsia="zh-CN"/>
                <w14:textFill>
                  <w14:solidFill>
                    <w14:schemeClr w14:val="tx1"/>
                  </w14:solidFill>
                </w14:textFill>
              </w:rPr>
              <w:t>熔融、压铸、脱模、液化石油气燃烧</w:t>
            </w:r>
            <w:r>
              <w:rPr>
                <w:rFonts w:hint="default" w:ascii="Times New Roman" w:hAnsi="Times New Roman" w:eastAsia="宋体" w:cs="Times New Roman"/>
                <w:b w:val="0"/>
                <w:bCs/>
                <w:color w:val="000000" w:themeColor="text1"/>
                <w:spacing w:val="-10"/>
                <w:sz w:val="21"/>
                <w:szCs w:val="21"/>
                <w:highlight w:val="none"/>
                <w:vertAlign w:val="baseline"/>
                <w:lang w:val="en-US" w:eastAsia="zh-CN"/>
                <w14:textFill>
                  <w14:solidFill>
                    <w14:schemeClr w14:val="tx1"/>
                  </w14:solidFill>
                </w14:textFill>
              </w:rPr>
              <w:t>废气</w:t>
            </w:r>
          </w:p>
        </w:tc>
        <w:tc>
          <w:tcPr>
            <w:tcW w:w="1393" w:type="dxa"/>
            <w:noWrap w:val="0"/>
            <w:vAlign w:val="center"/>
          </w:tcPr>
          <w:p w14:paraId="7324ED08">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1447" w:type="dxa"/>
            <w:vMerge w:val="restart"/>
            <w:noWrap w:val="0"/>
            <w:vAlign w:val="center"/>
          </w:tcPr>
          <w:p w14:paraId="6EF0FFEE">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水喷淋</w:t>
            </w:r>
          </w:p>
        </w:tc>
        <w:tc>
          <w:tcPr>
            <w:tcW w:w="2427" w:type="dxa"/>
            <w:vMerge w:val="restart"/>
            <w:noWrap w:val="0"/>
            <w:vAlign w:val="center"/>
          </w:tcPr>
          <w:p w14:paraId="20256B73">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广东地方标准《固定污染源挥发性有机物综合排放标准》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DB44/2367-2022</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表1挥发性有机物排放限值</w:t>
            </w:r>
          </w:p>
        </w:tc>
      </w:tr>
      <w:tr w14:paraId="6D9C58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778" w:type="dxa"/>
            <w:vMerge w:val="continue"/>
            <w:noWrap w:val="0"/>
            <w:vAlign w:val="center"/>
          </w:tcPr>
          <w:p w14:paraId="2A2C302E">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9" w:type="dxa"/>
            <w:vMerge w:val="continue"/>
            <w:noWrap w:val="0"/>
            <w:vAlign w:val="center"/>
          </w:tcPr>
          <w:p w14:paraId="70D77055">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56" w:type="dxa"/>
            <w:vMerge w:val="continue"/>
            <w:noWrap w:val="0"/>
            <w:vAlign w:val="center"/>
          </w:tcPr>
          <w:p w14:paraId="55B68A90">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0879E7AF">
            <w:pPr>
              <w:shd w:val="clear"/>
              <w:jc w:val="center"/>
              <w:rPr>
                <w:rFonts w:hint="default"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TVOC</w:t>
            </w:r>
          </w:p>
        </w:tc>
        <w:tc>
          <w:tcPr>
            <w:tcW w:w="1447" w:type="dxa"/>
            <w:vMerge w:val="continue"/>
            <w:noWrap w:val="0"/>
            <w:vAlign w:val="center"/>
          </w:tcPr>
          <w:p w14:paraId="7B868D8B">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2134892B">
            <w:pPr>
              <w:pStyle w:val="70"/>
              <w:shd w:val="clear"/>
              <w:spacing w:line="240" w:lineRule="auto"/>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3A9431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778" w:type="dxa"/>
            <w:vMerge w:val="continue"/>
            <w:noWrap w:val="0"/>
            <w:vAlign w:val="center"/>
          </w:tcPr>
          <w:p w14:paraId="283E96AC">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9" w:type="dxa"/>
            <w:vMerge w:val="continue"/>
            <w:noWrap w:val="0"/>
            <w:vAlign w:val="center"/>
          </w:tcPr>
          <w:p w14:paraId="4934D012">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56" w:type="dxa"/>
            <w:vMerge w:val="continue"/>
            <w:noWrap w:val="0"/>
            <w:vAlign w:val="center"/>
          </w:tcPr>
          <w:p w14:paraId="5F093E42">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306466A8">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臭气浓度</w:t>
            </w:r>
          </w:p>
        </w:tc>
        <w:tc>
          <w:tcPr>
            <w:tcW w:w="1447" w:type="dxa"/>
            <w:vMerge w:val="continue"/>
            <w:noWrap w:val="0"/>
            <w:vAlign w:val="center"/>
          </w:tcPr>
          <w:p w14:paraId="63FAF6A7">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noWrap w:val="0"/>
            <w:vAlign w:val="center"/>
          </w:tcPr>
          <w:p w14:paraId="7D3C78EE">
            <w:pPr>
              <w:pStyle w:val="70"/>
              <w:shd w:val="clear"/>
              <w:spacing w:line="240" w:lineRule="auto"/>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《恶臭污染物排放标准》（GB14554-93）表2恶臭污染物排放标准值</w:t>
            </w:r>
          </w:p>
        </w:tc>
      </w:tr>
      <w:tr w14:paraId="6841EA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778" w:type="dxa"/>
            <w:vMerge w:val="continue"/>
            <w:noWrap w:val="0"/>
            <w:vAlign w:val="center"/>
          </w:tcPr>
          <w:p w14:paraId="001750DF">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9" w:type="dxa"/>
            <w:vMerge w:val="continue"/>
            <w:noWrap w:val="0"/>
            <w:vAlign w:val="center"/>
          </w:tcPr>
          <w:p w14:paraId="2A686010">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56" w:type="dxa"/>
            <w:vMerge w:val="continue"/>
            <w:noWrap w:val="0"/>
            <w:vAlign w:val="center"/>
          </w:tcPr>
          <w:p w14:paraId="455762E3">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39184928">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林格曼黑度</w:t>
            </w:r>
          </w:p>
        </w:tc>
        <w:tc>
          <w:tcPr>
            <w:tcW w:w="1447" w:type="dxa"/>
            <w:vMerge w:val="continue"/>
            <w:noWrap w:val="0"/>
            <w:vAlign w:val="center"/>
          </w:tcPr>
          <w:p w14:paraId="26C78973">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noWrap w:val="0"/>
            <w:vAlign w:val="center"/>
          </w:tcPr>
          <w:p w14:paraId="11DFE38D">
            <w:pPr>
              <w:pStyle w:val="70"/>
              <w:keepNext w:val="0"/>
              <w:keepLines w:val="0"/>
              <w:pageBreakBefore w:val="0"/>
              <w:widowControl w:val="0"/>
              <w:shd w:val="clear"/>
              <w:kinsoku/>
              <w:wordWrap w:val="0"/>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《工业炉窑大气污染物排放标准》（GB9078-1996）表2金属熔化炉二级标准</w:t>
            </w:r>
          </w:p>
        </w:tc>
      </w:tr>
      <w:tr w14:paraId="0EE74A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778" w:type="dxa"/>
            <w:vMerge w:val="continue"/>
            <w:noWrap w:val="0"/>
            <w:vAlign w:val="center"/>
          </w:tcPr>
          <w:p w14:paraId="75D6ECFE">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9" w:type="dxa"/>
            <w:vMerge w:val="continue"/>
            <w:noWrap w:val="0"/>
            <w:vAlign w:val="center"/>
          </w:tcPr>
          <w:p w14:paraId="42723CA5">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56" w:type="dxa"/>
            <w:vMerge w:val="continue"/>
            <w:noWrap w:val="0"/>
            <w:vAlign w:val="center"/>
          </w:tcPr>
          <w:p w14:paraId="11EE1462">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6C754B6F">
            <w:pPr>
              <w:pStyle w:val="75"/>
              <w:keepNext w:val="0"/>
              <w:keepLines w:val="0"/>
              <w:pageBreakBefore w:val="0"/>
              <w:widowControl w:val="0"/>
              <w:overflowPunct/>
              <w:topLinePunct w:val="0"/>
              <w:autoSpaceDE/>
              <w:bidi w:val="0"/>
              <w:adjustRightInd/>
              <w:snapToGrid/>
              <w:spacing w:line="240" w:lineRule="auto"/>
              <w:ind w:left="0" w:left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ascii="Times New Roman" w:hAnsi="Times New Roman" w:eastAsia="宋体"/>
                <w:color w:val="000000" w:themeColor="text1"/>
                <w:spacing w:val="-4"/>
                <w:sz w:val="21"/>
                <w:szCs w:val="22"/>
                <w:highlight w:val="none"/>
                <w14:textFill>
                  <w14:solidFill>
                    <w14:schemeClr w14:val="tx1"/>
                  </w14:solidFill>
                </w14:textFill>
              </w:rPr>
              <w:t>SO</w:t>
            </w:r>
            <w:r>
              <w:rPr>
                <w:rFonts w:ascii="Times New Roman" w:hAnsi="Times New Roman" w:eastAsia="宋体" w:cs="Calibri"/>
                <w:color w:val="000000" w:themeColor="text1"/>
                <w:spacing w:val="-4"/>
                <w:sz w:val="21"/>
                <w:szCs w:val="22"/>
                <w:highlight w:val="none"/>
                <w14:textFill>
                  <w14:solidFill>
                    <w14:schemeClr w14:val="tx1"/>
                  </w14:solidFill>
                </w14:textFill>
              </w:rPr>
              <w:t>₂</w:t>
            </w:r>
          </w:p>
        </w:tc>
        <w:tc>
          <w:tcPr>
            <w:tcW w:w="1447" w:type="dxa"/>
            <w:vMerge w:val="continue"/>
            <w:noWrap w:val="0"/>
            <w:vAlign w:val="center"/>
          </w:tcPr>
          <w:p w14:paraId="1D1F8472">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restart"/>
            <w:noWrap w:val="0"/>
            <w:vAlign w:val="center"/>
          </w:tcPr>
          <w:p w14:paraId="6E672557">
            <w:pPr>
              <w:pStyle w:val="70"/>
              <w:keepNext w:val="0"/>
              <w:keepLines w:val="0"/>
              <w:pageBreakBefore w:val="0"/>
              <w:widowControl w:val="0"/>
              <w:shd w:val="clear"/>
              <w:kinsoku/>
              <w:wordWrap w:val="0"/>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z w:val="21"/>
                <w:szCs w:val="22"/>
                <w:highlight w:val="none"/>
                <w14:textFill>
                  <w14:solidFill>
                    <w14:schemeClr w14:val="tx1"/>
                  </w14:solidFill>
                </w14:textFill>
              </w:rPr>
              <w:t>《铸造工业大气污染物排放标准》（GB39726-2020）表</w:t>
            </w:r>
            <w:r>
              <w:rPr>
                <w:rFonts w:hint="eastAsia" w:eastAsia="宋体"/>
                <w:color w:val="000000" w:themeColor="text1"/>
                <w:sz w:val="21"/>
                <w:szCs w:val="22"/>
                <w:highlight w:val="none"/>
                <w:lang w:val="en-US" w:eastAsia="zh-CN"/>
                <w14:textFill>
                  <w14:solidFill>
                    <w14:schemeClr w14:val="tx1"/>
                  </w14:solidFill>
                </w14:textFill>
              </w:rPr>
              <w:t>1</w:t>
            </w:r>
            <w:r>
              <w:rPr>
                <w:rFonts w:hint="eastAsia" w:ascii="Times New Roman" w:hAnsi="Times New Roman" w:eastAsia="宋体"/>
                <w:color w:val="000000" w:themeColor="text1"/>
                <w:sz w:val="21"/>
                <w:szCs w:val="22"/>
                <w:highlight w:val="none"/>
                <w14:textFill>
                  <w14:solidFill>
                    <w14:schemeClr w14:val="tx1"/>
                  </w14:solidFill>
                </w14:textFill>
              </w:rPr>
              <w:t>大气污染物排放限值</w:t>
            </w:r>
          </w:p>
        </w:tc>
      </w:tr>
      <w:tr w14:paraId="07E6F5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778" w:type="dxa"/>
            <w:vMerge w:val="continue"/>
            <w:noWrap w:val="0"/>
            <w:vAlign w:val="center"/>
          </w:tcPr>
          <w:p w14:paraId="539954A8">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9" w:type="dxa"/>
            <w:vMerge w:val="continue"/>
            <w:noWrap w:val="0"/>
            <w:vAlign w:val="center"/>
          </w:tcPr>
          <w:p w14:paraId="4C21003E">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56" w:type="dxa"/>
            <w:vMerge w:val="continue"/>
            <w:noWrap w:val="0"/>
            <w:vAlign w:val="center"/>
          </w:tcPr>
          <w:p w14:paraId="19A0DEF9">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520B7AEA">
            <w:pPr>
              <w:pStyle w:val="75"/>
              <w:keepNext w:val="0"/>
              <w:keepLines w:val="0"/>
              <w:pageBreakBefore w:val="0"/>
              <w:widowControl w:val="0"/>
              <w:overflowPunct/>
              <w:topLinePunct w:val="0"/>
              <w:autoSpaceDE/>
              <w:bidi w:val="0"/>
              <w:adjustRightInd/>
              <w:snapToGrid/>
              <w:spacing w:line="240" w:lineRule="auto"/>
              <w:ind w:left="0" w:left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ascii="Times New Roman" w:hAnsi="Times New Roman" w:eastAsia="宋体"/>
                <w:color w:val="000000" w:themeColor="text1"/>
                <w:spacing w:val="-1"/>
                <w:sz w:val="21"/>
                <w:szCs w:val="22"/>
                <w:highlight w:val="none"/>
                <w14:textFill>
                  <w14:solidFill>
                    <w14:schemeClr w14:val="tx1"/>
                  </w14:solidFill>
                </w14:textFill>
              </w:rPr>
              <w:t>NOx</w:t>
            </w:r>
          </w:p>
        </w:tc>
        <w:tc>
          <w:tcPr>
            <w:tcW w:w="1447" w:type="dxa"/>
            <w:vMerge w:val="continue"/>
            <w:noWrap w:val="0"/>
            <w:vAlign w:val="center"/>
          </w:tcPr>
          <w:p w14:paraId="52C4E118">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5B8653D3">
            <w:pPr>
              <w:pStyle w:val="70"/>
              <w:shd w:val="clear"/>
              <w:spacing w:line="240" w:lineRule="auto"/>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4A05CF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778" w:type="dxa"/>
            <w:vMerge w:val="continue"/>
            <w:noWrap w:val="0"/>
            <w:vAlign w:val="center"/>
          </w:tcPr>
          <w:p w14:paraId="70959206">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9" w:type="dxa"/>
            <w:vMerge w:val="continue"/>
            <w:noWrap w:val="0"/>
            <w:vAlign w:val="center"/>
          </w:tcPr>
          <w:p w14:paraId="50ED948B">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56" w:type="dxa"/>
            <w:vMerge w:val="continue"/>
            <w:noWrap w:val="0"/>
            <w:vAlign w:val="center"/>
          </w:tcPr>
          <w:p w14:paraId="2D48E0DB">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4094E96D">
            <w:pPr>
              <w:keepNext w:val="0"/>
              <w:keepLines w:val="0"/>
              <w:widowControl/>
              <w:suppressLineNumbers w:val="0"/>
              <w:shd w:val="clear"/>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颗粒物</w:t>
            </w:r>
          </w:p>
        </w:tc>
        <w:tc>
          <w:tcPr>
            <w:tcW w:w="1447" w:type="dxa"/>
            <w:vMerge w:val="continue"/>
            <w:noWrap w:val="0"/>
            <w:vAlign w:val="center"/>
          </w:tcPr>
          <w:p w14:paraId="1B44A6D5">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051E751D">
            <w:pPr>
              <w:pStyle w:val="70"/>
              <w:shd w:val="clear"/>
              <w:spacing w:line="240" w:lineRule="auto"/>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449DE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778" w:type="dxa"/>
            <w:vMerge w:val="continue"/>
            <w:noWrap w:val="0"/>
            <w:vAlign w:val="center"/>
          </w:tcPr>
          <w:p w14:paraId="57371532">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restart"/>
            <w:noWrap w:val="0"/>
            <w:vAlign w:val="center"/>
          </w:tcPr>
          <w:p w14:paraId="2F0A0570">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厂界无组织废气</w:t>
            </w:r>
          </w:p>
        </w:tc>
        <w:tc>
          <w:tcPr>
            <w:tcW w:w="1393" w:type="dxa"/>
            <w:noWrap w:val="0"/>
            <w:vAlign w:val="center"/>
          </w:tcPr>
          <w:p w14:paraId="07746DDF">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1447" w:type="dxa"/>
            <w:vMerge w:val="restart"/>
            <w:noWrap w:val="0"/>
            <w:vAlign w:val="center"/>
          </w:tcPr>
          <w:p w14:paraId="4B6FE450">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无组织排放</w:t>
            </w:r>
          </w:p>
        </w:tc>
        <w:tc>
          <w:tcPr>
            <w:tcW w:w="2427" w:type="dxa"/>
            <w:vMerge w:val="restart"/>
            <w:noWrap w:val="0"/>
            <w:vAlign w:val="center"/>
          </w:tcPr>
          <w:p w14:paraId="678029EE">
            <w:pPr>
              <w:shd w:val="clear"/>
              <w:adjustRightInd w:val="0"/>
              <w:snapToGrid w:val="0"/>
              <w:spacing w:line="240" w:lineRule="auto"/>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kern w:val="0"/>
                <w:szCs w:val="21"/>
                <w:highlight w:val="none"/>
                <w:lang w:bidi="ar"/>
                <w14:textFill>
                  <w14:solidFill>
                    <w14:schemeClr w14:val="tx1"/>
                  </w14:solidFill>
                </w14:textFill>
              </w:rPr>
              <w:t>广东省地方标准《大气污染物排放限值》（DB44/27-2001）</w:t>
            </w:r>
            <w:r>
              <w:rPr>
                <w:rFonts w:hint="eastAsia"/>
                <w:color w:val="000000" w:themeColor="text1"/>
                <w:kern w:val="0"/>
                <w:szCs w:val="21"/>
                <w:highlight w:val="none"/>
                <w:lang w:val="en-US" w:eastAsia="zh-CN" w:bidi="ar"/>
                <w14:textFill>
                  <w14:solidFill>
                    <w14:schemeClr w14:val="tx1"/>
                  </w14:solidFill>
                </w14:textFill>
              </w:rPr>
              <w:t>表2</w:t>
            </w:r>
            <w:r>
              <w:rPr>
                <w:rFonts w:hint="eastAsia"/>
                <w:color w:val="000000" w:themeColor="text1"/>
                <w:kern w:val="0"/>
                <w:szCs w:val="21"/>
                <w:highlight w:val="none"/>
                <w:lang w:bidi="ar"/>
                <w14:textFill>
                  <w14:solidFill>
                    <w14:schemeClr w14:val="tx1"/>
                  </w14:solidFill>
                </w14:textFill>
              </w:rPr>
              <w:t>第二时段无组织排放监控浓度限值</w:t>
            </w:r>
          </w:p>
        </w:tc>
      </w:tr>
      <w:tr w14:paraId="5741C8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78" w:type="dxa"/>
            <w:vMerge w:val="continue"/>
            <w:noWrap w:val="0"/>
            <w:vAlign w:val="center"/>
          </w:tcPr>
          <w:p w14:paraId="2B332EC9">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6C20694B">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15E9E575">
            <w:pPr>
              <w:shd w:val="clea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颗粒物</w:t>
            </w:r>
          </w:p>
        </w:tc>
        <w:tc>
          <w:tcPr>
            <w:tcW w:w="1447" w:type="dxa"/>
            <w:vMerge w:val="continue"/>
            <w:noWrap w:val="0"/>
            <w:vAlign w:val="center"/>
          </w:tcPr>
          <w:p w14:paraId="7DFD4E26">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27" w:type="dxa"/>
            <w:vMerge w:val="continue"/>
            <w:noWrap w:val="0"/>
            <w:vAlign w:val="center"/>
          </w:tcPr>
          <w:p w14:paraId="79D893E4">
            <w:pPr>
              <w:shd w:val="clear"/>
              <w:adjustRightInd w:val="0"/>
              <w:snapToGrid w:val="0"/>
              <w:spacing w:line="240" w:lineRule="auto"/>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CAE77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78" w:type="dxa"/>
            <w:vMerge w:val="continue"/>
            <w:noWrap w:val="0"/>
            <w:vAlign w:val="center"/>
          </w:tcPr>
          <w:p w14:paraId="1DF08621">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69591CF3">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14F74A56">
            <w:pPr>
              <w:pStyle w:val="75"/>
              <w:keepNext w:val="0"/>
              <w:keepLines w:val="0"/>
              <w:pageBreakBefore w:val="0"/>
              <w:widowControl w:val="0"/>
              <w:kinsoku/>
              <w:wordWrap/>
              <w:overflowPunct/>
              <w:topLinePunct w:val="0"/>
              <w:autoSpaceDE/>
              <w:autoSpaceDN/>
              <w:bidi w:val="0"/>
              <w:adjustRightInd/>
              <w:snapToGrid/>
              <w:spacing w:line="183" w:lineRule="auto"/>
              <w:ind w:left="0" w:leftChars="0" w:right="0" w:rightChars="0"/>
              <w:jc w:val="center"/>
              <w:textAlignment w:val="auto"/>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SO₂</w:t>
            </w:r>
          </w:p>
        </w:tc>
        <w:tc>
          <w:tcPr>
            <w:tcW w:w="1447" w:type="dxa"/>
            <w:vMerge w:val="continue"/>
            <w:noWrap w:val="0"/>
            <w:vAlign w:val="center"/>
          </w:tcPr>
          <w:p w14:paraId="6B395B9D">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27" w:type="dxa"/>
            <w:vMerge w:val="continue"/>
            <w:noWrap w:val="0"/>
            <w:vAlign w:val="center"/>
          </w:tcPr>
          <w:p w14:paraId="17E23732">
            <w:pPr>
              <w:shd w:val="clear"/>
              <w:adjustRightInd w:val="0"/>
              <w:snapToGrid w:val="0"/>
              <w:spacing w:line="240" w:lineRule="auto"/>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75106F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778" w:type="dxa"/>
            <w:vMerge w:val="continue"/>
            <w:noWrap w:val="0"/>
            <w:vAlign w:val="center"/>
          </w:tcPr>
          <w:p w14:paraId="639F6D1B">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305CE9B8">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6BD4735A">
            <w:pPr>
              <w:pStyle w:val="75"/>
              <w:keepNext w:val="0"/>
              <w:keepLines w:val="0"/>
              <w:pageBreakBefore w:val="0"/>
              <w:widowControl w:val="0"/>
              <w:kinsoku/>
              <w:wordWrap/>
              <w:overflowPunct/>
              <w:topLinePunct w:val="0"/>
              <w:autoSpaceDE/>
              <w:autoSpaceDN/>
              <w:bidi w:val="0"/>
              <w:adjustRightInd/>
              <w:snapToGrid/>
              <w:spacing w:line="183" w:lineRule="auto"/>
              <w:ind w:left="0" w:leftChars="0" w:right="0" w:rightChars="0"/>
              <w:jc w:val="center"/>
              <w:textAlignment w:val="auto"/>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sz w:val="21"/>
                <w:szCs w:val="21"/>
                <w:highlight w:val="none"/>
                <w14:textFill>
                  <w14:solidFill>
                    <w14:schemeClr w14:val="tx1"/>
                  </w14:solidFill>
                </w14:textFill>
              </w:rPr>
              <w:t>NOx</w:t>
            </w:r>
          </w:p>
        </w:tc>
        <w:tc>
          <w:tcPr>
            <w:tcW w:w="1447" w:type="dxa"/>
            <w:vMerge w:val="continue"/>
            <w:noWrap w:val="0"/>
            <w:vAlign w:val="center"/>
          </w:tcPr>
          <w:p w14:paraId="1F4906EA">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27" w:type="dxa"/>
            <w:vMerge w:val="continue"/>
            <w:noWrap w:val="0"/>
            <w:vAlign w:val="center"/>
          </w:tcPr>
          <w:p w14:paraId="1DBFD5DD">
            <w:pPr>
              <w:shd w:val="clear"/>
              <w:adjustRightInd w:val="0"/>
              <w:snapToGrid w:val="0"/>
              <w:spacing w:line="240" w:lineRule="auto"/>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50128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7DD7AF12">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3CD3AD98">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14C3948F">
            <w:pPr>
              <w:keepNext w:val="0"/>
              <w:keepLines w:val="0"/>
              <w:widowControl/>
              <w:suppressLineNumbers w:val="0"/>
              <w:shd w:val="clear"/>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臭气浓度</w:t>
            </w:r>
          </w:p>
        </w:tc>
        <w:tc>
          <w:tcPr>
            <w:tcW w:w="1447" w:type="dxa"/>
            <w:vMerge w:val="continue"/>
            <w:noWrap w:val="0"/>
            <w:vAlign w:val="center"/>
          </w:tcPr>
          <w:p w14:paraId="4E4E9224">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noWrap w:val="0"/>
            <w:vAlign w:val="center"/>
          </w:tcPr>
          <w:p w14:paraId="6DB1AFC5">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《恶臭污染物排放标准》（GB14554-93）表1恶臭污染物厂界标准值</w:t>
            </w:r>
          </w:p>
        </w:tc>
      </w:tr>
      <w:tr w14:paraId="1568C2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778" w:type="dxa"/>
            <w:vMerge w:val="continue"/>
            <w:noWrap w:val="0"/>
            <w:vAlign w:val="center"/>
          </w:tcPr>
          <w:p w14:paraId="10EBAA65">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restart"/>
            <w:noWrap w:val="0"/>
            <w:vAlign w:val="center"/>
          </w:tcPr>
          <w:p w14:paraId="38E71D02">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厂区内无组织</w:t>
            </w:r>
          </w:p>
          <w:p w14:paraId="0F5557B3">
            <w:pPr>
              <w:shd w:val="clea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1393" w:type="dxa"/>
            <w:vMerge w:val="restart"/>
            <w:noWrap w:val="0"/>
            <w:vAlign w:val="center"/>
          </w:tcPr>
          <w:p w14:paraId="7E518831">
            <w:pPr>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1447" w:type="dxa"/>
            <w:noWrap w:val="0"/>
            <w:vAlign w:val="center"/>
          </w:tcPr>
          <w:p w14:paraId="71F696CB">
            <w:pPr>
              <w:pStyle w:val="70"/>
              <w:shd w:val="clear"/>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监控点处1h平均浓度值</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2427" w:type="dxa"/>
            <w:vMerge w:val="restart"/>
            <w:noWrap w:val="0"/>
            <w:vAlign w:val="center"/>
          </w:tcPr>
          <w:p w14:paraId="7B167F93">
            <w:pPr>
              <w:pStyle w:val="70"/>
              <w:shd w:val="clear"/>
              <w:spacing w:line="240" w:lineRule="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广东省</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《固定污染源挥发性有机物综合排放标准》（DB44/2367-2022）表3厂区内VOCs无组织排放限值</w:t>
            </w:r>
          </w:p>
        </w:tc>
      </w:tr>
      <w:tr w14:paraId="68C4E3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619B3E7E">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449B1345">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vMerge w:val="continue"/>
            <w:noWrap w:val="0"/>
            <w:vAlign w:val="center"/>
          </w:tcPr>
          <w:p w14:paraId="46B5446A">
            <w:pPr>
              <w:pStyle w:val="70"/>
              <w:shd w:val="clear"/>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47" w:type="dxa"/>
            <w:noWrap w:val="0"/>
            <w:vAlign w:val="center"/>
          </w:tcPr>
          <w:p w14:paraId="477D491B">
            <w:pPr>
              <w:pStyle w:val="70"/>
              <w:shd w:val="clear"/>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0（监控点处任意一点的浓度值）</w:t>
            </w:r>
          </w:p>
        </w:tc>
        <w:tc>
          <w:tcPr>
            <w:tcW w:w="2427" w:type="dxa"/>
            <w:vMerge w:val="continue"/>
            <w:noWrap w:val="0"/>
            <w:vAlign w:val="center"/>
          </w:tcPr>
          <w:p w14:paraId="23293883">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5BFF42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77FECC09">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607F172D">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0A006E55">
            <w:pPr>
              <w:pStyle w:val="70"/>
              <w:shd w:val="clear"/>
              <w:spacing w:line="240" w:lineRule="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颗粒物</w:t>
            </w:r>
          </w:p>
        </w:tc>
        <w:tc>
          <w:tcPr>
            <w:tcW w:w="1447" w:type="dxa"/>
            <w:noWrap w:val="0"/>
            <w:vAlign w:val="center"/>
          </w:tcPr>
          <w:p w14:paraId="6C3A7FF4">
            <w:pPr>
              <w:pStyle w:val="70"/>
              <w:shd w:val="clear"/>
              <w:spacing w:line="240" w:lineRule="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lang w:val="en-US" w:eastAsia="zh-CN" w:bidi="ar"/>
                <w14:textFill>
                  <w14:solidFill>
                    <w14:schemeClr w14:val="tx1"/>
                  </w14:solidFill>
                </w14:textFill>
              </w:rPr>
              <w:t>（监控点处</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1h</w:t>
            </w:r>
            <w:r>
              <w:rPr>
                <w:rFonts w:hint="eastAsia" w:ascii="宋体" w:hAnsi="宋体" w:eastAsia="宋体" w:cs="宋体"/>
                <w:color w:val="000000" w:themeColor="text1"/>
                <w:kern w:val="0"/>
                <w:sz w:val="21"/>
                <w:szCs w:val="21"/>
                <w:lang w:val="en-US" w:eastAsia="zh-CN" w:bidi="ar"/>
                <w14:textFill>
                  <w14:solidFill>
                    <w14:schemeClr w14:val="tx1"/>
                  </w14:solidFill>
                </w14:textFill>
              </w:rPr>
              <w:t>平均浓度值）</w:t>
            </w:r>
          </w:p>
        </w:tc>
        <w:tc>
          <w:tcPr>
            <w:tcW w:w="2427" w:type="dxa"/>
            <w:noWrap w:val="0"/>
            <w:vAlign w:val="center"/>
          </w:tcPr>
          <w:p w14:paraId="33A7BEA8">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olor w:val="000000" w:themeColor="text1"/>
                <w:spacing w:val="0"/>
                <w:sz w:val="21"/>
                <w:szCs w:val="19"/>
                <w:highlight w:val="none"/>
                <w14:textFill>
                  <w14:solidFill>
                    <w14:schemeClr w14:val="tx1"/>
                  </w14:solidFill>
                </w14:textFill>
              </w:rPr>
              <w:t>《铸造工业大气污染物排放标准》</w:t>
            </w:r>
            <w:r>
              <w:rPr>
                <w:rFonts w:hint="eastAsia" w:ascii="Times New Roman" w:hAnsi="Times New Roman"/>
                <w:color w:val="000000" w:themeColor="text1"/>
                <w:spacing w:val="0"/>
                <w:sz w:val="21"/>
                <w:szCs w:val="19"/>
                <w:highlight w:val="none"/>
                <w:lang w:eastAsia="zh-CN"/>
                <w14:textFill>
                  <w14:solidFill>
                    <w14:schemeClr w14:val="tx1"/>
                  </w14:solidFill>
                </w14:textFill>
              </w:rPr>
              <w:t>（</w:t>
            </w:r>
            <w:r>
              <w:rPr>
                <w:rFonts w:ascii="Times New Roman" w:hAnsi="Times New Roman" w:eastAsia="宋体"/>
                <w:color w:val="000000" w:themeColor="text1"/>
                <w:spacing w:val="0"/>
                <w:sz w:val="21"/>
                <w:szCs w:val="19"/>
                <w:highlight w:val="none"/>
                <w14:textFill>
                  <w14:solidFill>
                    <w14:schemeClr w14:val="tx1"/>
                  </w14:solidFill>
                </w14:textFill>
              </w:rPr>
              <w:t>GB39726-2020</w:t>
            </w:r>
            <w:r>
              <w:rPr>
                <w:rFonts w:hint="eastAsia" w:ascii="Times New Roman" w:hAnsi="Times New Roman"/>
                <w:color w:val="000000" w:themeColor="text1"/>
                <w:spacing w:val="0"/>
                <w:sz w:val="21"/>
                <w:szCs w:val="19"/>
                <w:highlight w:val="none"/>
                <w:lang w:eastAsia="zh-CN"/>
                <w14:textFill>
                  <w14:solidFill>
                    <w14:schemeClr w14:val="tx1"/>
                  </w14:solidFill>
                </w14:textFill>
              </w:rPr>
              <w:t>）</w:t>
            </w:r>
            <w:r>
              <w:rPr>
                <w:rFonts w:ascii="Times New Roman" w:hAnsi="Times New Roman" w:eastAsia="宋体"/>
                <w:color w:val="000000" w:themeColor="text1"/>
                <w:spacing w:val="0"/>
                <w:sz w:val="21"/>
                <w:szCs w:val="19"/>
                <w:highlight w:val="none"/>
                <w14:textFill>
                  <w14:solidFill>
                    <w14:schemeClr w14:val="tx1"/>
                  </w14:solidFill>
                </w14:textFill>
              </w:rPr>
              <w:t>表A.1厂区内颗粒物、VOCs无组织排放限值</w:t>
            </w:r>
          </w:p>
        </w:tc>
      </w:tr>
      <w:tr w14:paraId="4B312B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16E173FC">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地表水环境</w:t>
            </w:r>
          </w:p>
        </w:tc>
        <w:tc>
          <w:tcPr>
            <w:tcW w:w="1755" w:type="dxa"/>
            <w:gridSpan w:val="2"/>
            <w:vMerge w:val="restart"/>
            <w:noWrap w:val="0"/>
            <w:vAlign w:val="center"/>
          </w:tcPr>
          <w:p w14:paraId="7CEA2D0D">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生活污水</w:t>
            </w:r>
          </w:p>
        </w:tc>
        <w:tc>
          <w:tcPr>
            <w:tcW w:w="1393" w:type="dxa"/>
            <w:noWrap w:val="0"/>
            <w:vAlign w:val="center"/>
          </w:tcPr>
          <w:p w14:paraId="49DC42E5">
            <w:pPr>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pH值</w:t>
            </w:r>
          </w:p>
        </w:tc>
        <w:tc>
          <w:tcPr>
            <w:tcW w:w="1447" w:type="dxa"/>
            <w:vMerge w:val="restart"/>
            <w:noWrap w:val="0"/>
            <w:vAlign w:val="center"/>
          </w:tcPr>
          <w:p w14:paraId="477C2144">
            <w:pPr>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经三级化粪池预处理后进入</w:t>
            </w:r>
            <w:r>
              <w:rPr>
                <w:rFonts w:hint="default" w:ascii="Times New Roman" w:hAnsi="Times New Roman" w:cs="Times New Roman"/>
                <w:color w:val="000000" w:themeColor="text1"/>
                <w:sz w:val="21"/>
                <w:szCs w:val="21"/>
                <w:highlight w:val="none"/>
                <w:lang w:val="zh-CN" w:eastAsia="zh-CN"/>
                <w14:textFill>
                  <w14:solidFill>
                    <w14:schemeClr w14:val="tx1"/>
                  </w14:solidFill>
                </w14:textFill>
              </w:rPr>
              <w:t>中山市南朗镇水务有限公司</w:t>
            </w:r>
          </w:p>
        </w:tc>
        <w:tc>
          <w:tcPr>
            <w:tcW w:w="2427" w:type="dxa"/>
            <w:vMerge w:val="restart"/>
            <w:noWrap w:val="0"/>
            <w:vAlign w:val="center"/>
          </w:tcPr>
          <w:p w14:paraId="732684B5">
            <w:pPr>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广东省《水污染物排放限值》(DB44/26－2001)第二时段三级标准</w:t>
            </w:r>
          </w:p>
        </w:tc>
      </w:tr>
      <w:tr w14:paraId="0E6C38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0542587F">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04159C11">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7B1A7EBD">
            <w:pPr>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COD</w:t>
            </w:r>
            <w:r>
              <w:rPr>
                <w:rFonts w:hint="default" w:ascii="Times New Roman" w:hAnsi="Times New Roman" w:eastAsia="宋体" w:cs="Times New Roman"/>
                <w:bCs/>
                <w:color w:val="000000" w:themeColor="text1"/>
                <w:sz w:val="21"/>
                <w:szCs w:val="21"/>
                <w:highlight w:val="none"/>
                <w:vertAlign w:val="subscript"/>
                <w14:textFill>
                  <w14:solidFill>
                    <w14:schemeClr w14:val="tx1"/>
                  </w14:solidFill>
                </w14:textFill>
              </w:rPr>
              <w:t>cr</w:t>
            </w:r>
          </w:p>
        </w:tc>
        <w:tc>
          <w:tcPr>
            <w:tcW w:w="1447" w:type="dxa"/>
            <w:vMerge w:val="continue"/>
            <w:noWrap w:val="0"/>
            <w:vAlign w:val="center"/>
          </w:tcPr>
          <w:p w14:paraId="65BE884F">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10B0C6A4">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EE23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458ACD61">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46C3A6C7">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7F92A3DC">
            <w:pPr>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BOD</w:t>
            </w:r>
            <w:r>
              <w:rPr>
                <w:rFonts w:hint="default" w:ascii="Times New Roman" w:hAnsi="Times New Roman" w:eastAsia="宋体" w:cs="Times New Roman"/>
                <w:bCs/>
                <w:color w:val="000000" w:themeColor="text1"/>
                <w:sz w:val="21"/>
                <w:szCs w:val="21"/>
                <w:highlight w:val="none"/>
                <w:vertAlign w:val="subscript"/>
                <w14:textFill>
                  <w14:solidFill>
                    <w14:schemeClr w14:val="tx1"/>
                  </w14:solidFill>
                </w14:textFill>
              </w:rPr>
              <w:t>5</w:t>
            </w:r>
          </w:p>
        </w:tc>
        <w:tc>
          <w:tcPr>
            <w:tcW w:w="1447" w:type="dxa"/>
            <w:vMerge w:val="continue"/>
            <w:noWrap w:val="0"/>
            <w:vAlign w:val="center"/>
          </w:tcPr>
          <w:p w14:paraId="2A80F401">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0086876F">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1B6297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6CDD3467">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0F924853">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0AE253E5">
            <w:pPr>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SS</w:t>
            </w:r>
          </w:p>
        </w:tc>
        <w:tc>
          <w:tcPr>
            <w:tcW w:w="1447" w:type="dxa"/>
            <w:vMerge w:val="continue"/>
            <w:noWrap w:val="0"/>
            <w:vAlign w:val="center"/>
          </w:tcPr>
          <w:p w14:paraId="703FD5F5">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5FFA88C0">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8C87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4AC4B704">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2D1FC9EE">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47454A3E">
            <w:pPr>
              <w:shd w:val="clea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NH</w:t>
            </w:r>
            <w:r>
              <w:rPr>
                <w:rFonts w:hint="default" w:ascii="Times New Roman" w:hAnsi="Times New Roman" w:eastAsia="宋体" w:cs="Times New Roman"/>
                <w:bCs/>
                <w:color w:val="000000" w:themeColor="text1"/>
                <w:sz w:val="21"/>
                <w:szCs w:val="21"/>
                <w:highlight w:val="none"/>
                <w:vertAlign w:val="subscript"/>
                <w14:textFill>
                  <w14:solidFill>
                    <w14:schemeClr w14:val="tx1"/>
                  </w14:solidFill>
                </w14:textFill>
              </w:rPr>
              <w:t>3</w:t>
            </w:r>
            <w:r>
              <w:rPr>
                <w:rFonts w:hint="default" w:ascii="Times New Roman" w:hAnsi="Times New Roman" w:eastAsia="宋体" w:cs="Times New Roman"/>
                <w:bCs/>
                <w:color w:val="000000" w:themeColor="text1"/>
                <w:sz w:val="21"/>
                <w:szCs w:val="21"/>
                <w:highlight w:val="none"/>
                <w14:textFill>
                  <w14:solidFill>
                    <w14:schemeClr w14:val="tx1"/>
                  </w14:solidFill>
                </w14:textFill>
              </w:rPr>
              <w:t>-N</w:t>
            </w:r>
          </w:p>
        </w:tc>
        <w:tc>
          <w:tcPr>
            <w:tcW w:w="1447" w:type="dxa"/>
            <w:vMerge w:val="continue"/>
            <w:noWrap w:val="0"/>
            <w:vAlign w:val="center"/>
          </w:tcPr>
          <w:p w14:paraId="415D5441">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591E7145">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76074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5946B4A0">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21362CC4">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1C974FA5">
            <w:pPr>
              <w:shd w:val="clear"/>
              <w:spacing w:line="240" w:lineRule="auto"/>
              <w:jc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Tp</w:t>
            </w:r>
          </w:p>
        </w:tc>
        <w:tc>
          <w:tcPr>
            <w:tcW w:w="1447" w:type="dxa"/>
            <w:vMerge w:val="continue"/>
            <w:noWrap w:val="0"/>
            <w:vAlign w:val="center"/>
          </w:tcPr>
          <w:p w14:paraId="27D86A16">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5E3A0110">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5296B2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708D0CDF">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restart"/>
            <w:noWrap w:val="0"/>
            <w:vAlign w:val="center"/>
          </w:tcPr>
          <w:p w14:paraId="696A76F1">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抛光废水、水喷淋废水、研磨废水</w:t>
            </w:r>
          </w:p>
        </w:tc>
        <w:tc>
          <w:tcPr>
            <w:tcW w:w="1393" w:type="dxa"/>
            <w:noWrap w:val="0"/>
            <w:vAlign w:val="center"/>
          </w:tcPr>
          <w:p w14:paraId="09EC21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pH</w:t>
            </w:r>
          </w:p>
        </w:tc>
        <w:tc>
          <w:tcPr>
            <w:tcW w:w="1447" w:type="dxa"/>
            <w:vMerge w:val="restart"/>
            <w:noWrap w:val="0"/>
            <w:vAlign w:val="center"/>
          </w:tcPr>
          <w:p w14:paraId="1F76DE57">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定期交由有废水处理能力的公司转移处理</w:t>
            </w:r>
          </w:p>
        </w:tc>
        <w:tc>
          <w:tcPr>
            <w:tcW w:w="2427" w:type="dxa"/>
            <w:vMerge w:val="restart"/>
            <w:noWrap w:val="0"/>
            <w:vAlign w:val="center"/>
          </w:tcPr>
          <w:p w14:paraId="74E19F8A">
            <w:pPr>
              <w:shd w:val="clear"/>
              <w:adjustRightInd w:val="0"/>
              <w:snapToGrid w:val="0"/>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4221B3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4BD4B604">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344C35C7">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3712FC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CODcr</w:t>
            </w:r>
          </w:p>
        </w:tc>
        <w:tc>
          <w:tcPr>
            <w:tcW w:w="1447" w:type="dxa"/>
            <w:vMerge w:val="continue"/>
            <w:noWrap w:val="0"/>
            <w:vAlign w:val="center"/>
          </w:tcPr>
          <w:p w14:paraId="7FF12C84">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0951FE07">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270EB0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58121FB2">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66A09B46">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34BB6A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SS</w:t>
            </w:r>
          </w:p>
        </w:tc>
        <w:tc>
          <w:tcPr>
            <w:tcW w:w="1447" w:type="dxa"/>
            <w:vMerge w:val="continue"/>
            <w:noWrap w:val="0"/>
            <w:vAlign w:val="center"/>
          </w:tcPr>
          <w:p w14:paraId="18E6D531">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3E5AC7EE">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9F1FC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617C8D48">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393F52D9">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3BC12E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BOD</w:t>
            </w:r>
            <w:r>
              <w:rPr>
                <w:rFonts w:hint="default" w:ascii="Times New Roman" w:hAnsi="Times New Roman" w:eastAsia="宋体" w:cs="Times New Roman"/>
                <w:color w:val="000000" w:themeColor="text1"/>
                <w:spacing w:val="0"/>
                <w:kern w:val="2"/>
                <w:position w:val="0"/>
                <w:sz w:val="21"/>
                <w:szCs w:val="21"/>
                <w:highlight w:val="none"/>
                <w:vertAlign w:val="subscript"/>
                <w:lang w:val="en-US" w:eastAsia="zh-CN" w:bidi="ar-SA"/>
                <w14:textFill>
                  <w14:solidFill>
                    <w14:schemeClr w14:val="tx1"/>
                  </w14:solidFill>
                </w14:textFill>
              </w:rPr>
              <w:t>5</w:t>
            </w:r>
          </w:p>
        </w:tc>
        <w:tc>
          <w:tcPr>
            <w:tcW w:w="1447" w:type="dxa"/>
            <w:vMerge w:val="continue"/>
            <w:noWrap w:val="0"/>
            <w:vAlign w:val="center"/>
          </w:tcPr>
          <w:p w14:paraId="16E99943">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4480B2AE">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DD1B8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770A9783">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779AB48D">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26DE98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氨氮</w:t>
            </w:r>
          </w:p>
        </w:tc>
        <w:tc>
          <w:tcPr>
            <w:tcW w:w="1447" w:type="dxa"/>
            <w:vMerge w:val="continue"/>
            <w:noWrap w:val="0"/>
            <w:vAlign w:val="center"/>
          </w:tcPr>
          <w:p w14:paraId="6B95E12F">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662C987D">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4BFA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7EFF8407">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34455964">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5D089B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色度</w:t>
            </w:r>
          </w:p>
        </w:tc>
        <w:tc>
          <w:tcPr>
            <w:tcW w:w="1447" w:type="dxa"/>
            <w:vMerge w:val="continue"/>
            <w:noWrap w:val="0"/>
            <w:vAlign w:val="center"/>
          </w:tcPr>
          <w:p w14:paraId="5D4539F4">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22CE536C">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BFC75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4A7DD375">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0B4E2EE3">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056415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石油类</w:t>
            </w:r>
          </w:p>
        </w:tc>
        <w:tc>
          <w:tcPr>
            <w:tcW w:w="1447" w:type="dxa"/>
            <w:vMerge w:val="continue"/>
            <w:noWrap w:val="0"/>
            <w:vAlign w:val="center"/>
          </w:tcPr>
          <w:p w14:paraId="333DC4B9">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3A0C43A0">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A82AB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6B388D5E">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189406F1">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93" w:type="dxa"/>
            <w:noWrap w:val="0"/>
            <w:vAlign w:val="center"/>
          </w:tcPr>
          <w:p w14:paraId="227368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eastAsia"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t>LAS</w:t>
            </w:r>
          </w:p>
        </w:tc>
        <w:tc>
          <w:tcPr>
            <w:tcW w:w="1447" w:type="dxa"/>
            <w:vMerge w:val="continue"/>
            <w:noWrap w:val="0"/>
            <w:vAlign w:val="center"/>
          </w:tcPr>
          <w:p w14:paraId="30E3D47F">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4A5DDF80">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FE14A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778" w:type="dxa"/>
            <w:noWrap w:val="0"/>
            <w:vAlign w:val="center"/>
          </w:tcPr>
          <w:p w14:paraId="50F054E7">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声环境</w:t>
            </w:r>
          </w:p>
        </w:tc>
        <w:tc>
          <w:tcPr>
            <w:tcW w:w="1755" w:type="dxa"/>
            <w:gridSpan w:val="2"/>
            <w:noWrap w:val="0"/>
            <w:vAlign w:val="center"/>
          </w:tcPr>
          <w:p w14:paraId="02AF13E7">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生产设备</w:t>
            </w:r>
          </w:p>
        </w:tc>
        <w:tc>
          <w:tcPr>
            <w:tcW w:w="1393" w:type="dxa"/>
            <w:noWrap w:val="0"/>
            <w:vAlign w:val="center"/>
          </w:tcPr>
          <w:p w14:paraId="25783BD9">
            <w:pPr>
              <w:pStyle w:val="75"/>
              <w:keepNext w:val="0"/>
              <w:keepLines w:val="0"/>
              <w:pageBreakBefore w:val="0"/>
              <w:widowControl w:val="0"/>
              <w:shd w:val="clear"/>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color w:val="000000" w:themeColor="text1"/>
                <w:spacing w:val="-44"/>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等效连续</w:t>
            </w:r>
          </w:p>
          <w:p w14:paraId="708C6AC7">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A</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声级</w:t>
            </w:r>
          </w:p>
        </w:tc>
        <w:tc>
          <w:tcPr>
            <w:tcW w:w="1447" w:type="dxa"/>
            <w:noWrap w:val="0"/>
            <w:vAlign w:val="center"/>
          </w:tcPr>
          <w:p w14:paraId="4FBC7CA3">
            <w:pPr>
              <w:pStyle w:val="75"/>
              <w:keepNext w:val="0"/>
              <w:keepLines w:val="0"/>
              <w:pageBreakBefore w:val="0"/>
              <w:widowControl w:val="0"/>
              <w:shd w:val="clear"/>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优先选用低噪声设备、</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加强设备维护保养、墙</w:t>
            </w:r>
            <w:r>
              <w:rPr>
                <w:rFonts w:hint="default" w:ascii="Times New Roman" w:hAnsi="Times New Roman" w:eastAsia="宋体" w:cs="Times New Roman"/>
                <w:color w:val="000000" w:themeColor="text1"/>
                <w:spacing w:val="17"/>
                <w:sz w:val="21"/>
                <w:szCs w:val="21"/>
                <w:highlight w:val="none"/>
                <w14:textFill>
                  <w14:solidFill>
                    <w14:schemeClr w14:val="tx1"/>
                  </w14:solidFill>
                </w14:textFill>
              </w:rPr>
              <w:t>体隔声、减</w:t>
            </w:r>
            <w:r>
              <w:rPr>
                <w:rFonts w:hint="eastAsia" w:ascii="Times New Roman" w:hAnsi="Times New Roman" w:cs="Times New Roman"/>
                <w:color w:val="000000" w:themeColor="text1"/>
                <w:spacing w:val="17"/>
                <w:sz w:val="21"/>
                <w:szCs w:val="21"/>
                <w:highlight w:val="none"/>
                <w:lang w:val="en-US" w:eastAsia="zh-CN"/>
                <w14:textFill>
                  <w14:solidFill>
                    <w14:schemeClr w14:val="tx1"/>
                  </w14:solidFill>
                </w14:textFill>
              </w:rPr>
              <w:t>振</w:t>
            </w:r>
            <w:r>
              <w:rPr>
                <w:rFonts w:hint="default" w:ascii="Times New Roman" w:hAnsi="Times New Roman" w:eastAsia="宋体" w:cs="Times New Roman"/>
                <w:color w:val="000000" w:themeColor="text1"/>
                <w:spacing w:val="17"/>
                <w:sz w:val="21"/>
                <w:szCs w:val="21"/>
                <w:highlight w:val="none"/>
                <w14:textFill>
                  <w14:solidFill>
                    <w14:schemeClr w14:val="tx1"/>
                  </w14:solidFill>
                </w14:textFill>
              </w:rPr>
              <w:t>基础等</w:t>
            </w:r>
          </w:p>
        </w:tc>
        <w:tc>
          <w:tcPr>
            <w:tcW w:w="2427" w:type="dxa"/>
            <w:noWrap w:val="0"/>
            <w:vAlign w:val="center"/>
          </w:tcPr>
          <w:p w14:paraId="265BC55B">
            <w:pPr>
              <w:pStyle w:val="75"/>
              <w:shd w:val="clear"/>
              <w:spacing w:before="45"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t>厂界执行《工业企业厂界环境噪声排放标准》（GB12348-2008）3类标准。</w:t>
            </w:r>
            <w:r>
              <w:rPr>
                <w:rFonts w:hint="default" w:ascii="Times New Roman" w:hAnsi="Times New Roman" w:cs="Times New Roman"/>
                <w:color w:val="000000" w:themeColor="text1"/>
                <w:spacing w:val="8"/>
                <w:sz w:val="21"/>
                <w:szCs w:val="21"/>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14:textFill>
                  <w14:solidFill>
                    <w14:schemeClr w14:val="tx1"/>
                  </w14:solidFill>
                </w14:textFill>
              </w:rPr>
              <w:t>昼间噪声限值</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65</w:t>
            </w:r>
            <w:r>
              <w:rPr>
                <w:rFonts w:hint="default" w:ascii="Times New Roman" w:hAnsi="Times New Roman" w:eastAsia="宋体" w:cs="Times New Roman"/>
                <w:bCs/>
                <w:color w:val="000000" w:themeColor="text1"/>
                <w:sz w:val="21"/>
                <w:szCs w:val="21"/>
                <w:highlight w:val="none"/>
                <w14:textFill>
                  <w14:solidFill>
                    <w14:schemeClr w14:val="tx1"/>
                  </w14:solidFill>
                </w14:textFill>
              </w:rPr>
              <w:t>dB(A)</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夜间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不生产</w:t>
            </w:r>
            <w:r>
              <w:rPr>
                <w:rFonts w:hint="default" w:ascii="Times New Roman" w:hAnsi="Times New Roman" w:cs="Times New Roman"/>
                <w:color w:val="000000" w:themeColor="text1"/>
                <w:spacing w:val="8"/>
                <w:sz w:val="21"/>
                <w:szCs w:val="21"/>
                <w:highlight w:val="none"/>
                <w:lang w:val="en-US" w:eastAsia="zh-CN"/>
                <w14:textFill>
                  <w14:solidFill>
                    <w14:schemeClr w14:val="tx1"/>
                  </w14:solidFill>
                </w14:textFill>
              </w:rPr>
              <w:t>）</w:t>
            </w:r>
          </w:p>
        </w:tc>
      </w:tr>
      <w:tr w14:paraId="69C9A9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778" w:type="dxa"/>
            <w:vMerge w:val="restart"/>
            <w:noWrap w:val="0"/>
            <w:vAlign w:val="center"/>
          </w:tcPr>
          <w:p w14:paraId="68A7162D">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固体废物</w:t>
            </w:r>
          </w:p>
        </w:tc>
        <w:tc>
          <w:tcPr>
            <w:tcW w:w="1755" w:type="dxa"/>
            <w:gridSpan w:val="2"/>
            <w:noWrap w:val="0"/>
            <w:vAlign w:val="center"/>
          </w:tcPr>
          <w:p w14:paraId="1D651FFE">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员工生活</w:t>
            </w:r>
          </w:p>
        </w:tc>
        <w:tc>
          <w:tcPr>
            <w:tcW w:w="1393" w:type="dxa"/>
            <w:noWrap w:val="0"/>
            <w:vAlign w:val="center"/>
          </w:tcPr>
          <w:p w14:paraId="0D73F553">
            <w:pPr>
              <w:shd w:val="clear"/>
              <w:spacing w:line="240" w:lineRule="auto"/>
              <w:ind w:firstLine="32"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生活垃圾</w:t>
            </w:r>
          </w:p>
        </w:tc>
        <w:tc>
          <w:tcPr>
            <w:tcW w:w="1447" w:type="dxa"/>
            <w:noWrap w:val="0"/>
            <w:vAlign w:val="center"/>
          </w:tcPr>
          <w:p w14:paraId="576065F8">
            <w:pPr>
              <w:pStyle w:val="75"/>
              <w:keepNext w:val="0"/>
              <w:keepLines w:val="0"/>
              <w:pageBreakBefore w:val="0"/>
              <w:widowControl w:val="0"/>
              <w:shd w:val="clear"/>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交环卫部门统一清运</w:t>
            </w:r>
          </w:p>
        </w:tc>
        <w:tc>
          <w:tcPr>
            <w:tcW w:w="2427" w:type="dxa"/>
            <w:vMerge w:val="restart"/>
            <w:noWrap w:val="0"/>
            <w:vAlign w:val="center"/>
          </w:tcPr>
          <w:p w14:paraId="6624D8F5">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t>符合环保要求</w:t>
            </w:r>
          </w:p>
        </w:tc>
      </w:tr>
      <w:tr w14:paraId="1AB103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778" w:type="dxa"/>
            <w:vMerge w:val="continue"/>
            <w:noWrap w:val="0"/>
            <w:vAlign w:val="center"/>
          </w:tcPr>
          <w:p w14:paraId="75040381">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restart"/>
            <w:noWrap w:val="0"/>
            <w:vAlign w:val="center"/>
          </w:tcPr>
          <w:p w14:paraId="13871D0E">
            <w:pPr>
              <w:shd w:val="clea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一般固体废物</w:t>
            </w:r>
          </w:p>
        </w:tc>
        <w:tc>
          <w:tcPr>
            <w:tcW w:w="1393" w:type="dxa"/>
            <w:noWrap w:val="0"/>
            <w:vAlign w:val="center"/>
          </w:tcPr>
          <w:p w14:paraId="50C4D5CF">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金属碎屑</w:t>
            </w:r>
          </w:p>
        </w:tc>
        <w:tc>
          <w:tcPr>
            <w:tcW w:w="1447" w:type="dxa"/>
            <w:vMerge w:val="restart"/>
            <w:noWrap w:val="0"/>
            <w:vAlign w:val="center"/>
          </w:tcPr>
          <w:p w14:paraId="6B5197B1">
            <w:pPr>
              <w:pStyle w:val="75"/>
              <w:shd w:val="clear"/>
              <w:spacing w:before="177" w:line="240" w:lineRule="auto"/>
              <w:ind w:right="73" w:rightChars="0"/>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交</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具有</w:t>
            </w:r>
            <w:r>
              <w:rPr>
                <w:rFonts w:hint="default" w:ascii="Times New Roman" w:hAnsi="Times New Roman" w:eastAsia="宋体" w:cs="Times New Roman"/>
                <w:color w:val="000000" w:themeColor="text1"/>
                <w:sz w:val="21"/>
                <w:szCs w:val="21"/>
                <w:highlight w:val="none"/>
                <w14:textFill>
                  <w14:solidFill>
                    <w14:schemeClr w14:val="tx1"/>
                  </w14:solidFill>
                </w14:textFill>
              </w:rPr>
              <w:t>一般工业固废处理能力的单位处理</w:t>
            </w:r>
          </w:p>
        </w:tc>
        <w:tc>
          <w:tcPr>
            <w:tcW w:w="2427" w:type="dxa"/>
            <w:vMerge w:val="continue"/>
            <w:noWrap w:val="0"/>
            <w:vAlign w:val="center"/>
          </w:tcPr>
          <w:p w14:paraId="498B0221">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56C89A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7875F74C">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55" w:type="dxa"/>
            <w:gridSpan w:val="2"/>
            <w:vMerge w:val="continue"/>
            <w:noWrap w:val="0"/>
            <w:vAlign w:val="center"/>
          </w:tcPr>
          <w:p w14:paraId="6018484F">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68F31338">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抛光废水沉渣</w:t>
            </w:r>
          </w:p>
        </w:tc>
        <w:tc>
          <w:tcPr>
            <w:tcW w:w="1447" w:type="dxa"/>
            <w:vMerge w:val="continue"/>
            <w:noWrap w:val="0"/>
            <w:vAlign w:val="center"/>
          </w:tcPr>
          <w:p w14:paraId="576604C7">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27" w:type="dxa"/>
            <w:vMerge w:val="continue"/>
            <w:noWrap w:val="0"/>
            <w:vAlign w:val="center"/>
          </w:tcPr>
          <w:p w14:paraId="75C815A3">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7CA5F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733DEFEC">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55" w:type="dxa"/>
            <w:gridSpan w:val="2"/>
            <w:vMerge w:val="continue"/>
            <w:noWrap w:val="0"/>
            <w:vAlign w:val="center"/>
          </w:tcPr>
          <w:p w14:paraId="38A3AD16">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38A6B1E7">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废加工耗材</w:t>
            </w:r>
          </w:p>
        </w:tc>
        <w:tc>
          <w:tcPr>
            <w:tcW w:w="1447" w:type="dxa"/>
            <w:vMerge w:val="continue"/>
            <w:noWrap w:val="0"/>
            <w:vAlign w:val="center"/>
          </w:tcPr>
          <w:p w14:paraId="27BF9B09">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27" w:type="dxa"/>
            <w:vMerge w:val="continue"/>
            <w:noWrap w:val="0"/>
            <w:vAlign w:val="center"/>
          </w:tcPr>
          <w:p w14:paraId="1C0C0E66">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F59AC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72B6D54E">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55" w:type="dxa"/>
            <w:gridSpan w:val="2"/>
            <w:vMerge w:val="continue"/>
            <w:noWrap w:val="0"/>
            <w:vAlign w:val="center"/>
          </w:tcPr>
          <w:p w14:paraId="7E7C6EBE">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03C42278">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研磨废水沉渣</w:t>
            </w:r>
          </w:p>
        </w:tc>
        <w:tc>
          <w:tcPr>
            <w:tcW w:w="1447" w:type="dxa"/>
            <w:vMerge w:val="continue"/>
            <w:noWrap w:val="0"/>
            <w:vAlign w:val="center"/>
          </w:tcPr>
          <w:p w14:paraId="0E05F050">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27" w:type="dxa"/>
            <w:vMerge w:val="continue"/>
            <w:noWrap w:val="0"/>
            <w:vAlign w:val="center"/>
          </w:tcPr>
          <w:p w14:paraId="4DD52473">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26EF3F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04B81D7F">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55" w:type="dxa"/>
            <w:gridSpan w:val="2"/>
            <w:vMerge w:val="continue"/>
            <w:noWrap w:val="0"/>
            <w:vAlign w:val="center"/>
          </w:tcPr>
          <w:p w14:paraId="6C6477AD">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6914C1AA">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研磨废气沉降粉尘</w:t>
            </w:r>
          </w:p>
        </w:tc>
        <w:tc>
          <w:tcPr>
            <w:tcW w:w="1447" w:type="dxa"/>
            <w:vMerge w:val="continue"/>
            <w:noWrap w:val="0"/>
            <w:vAlign w:val="center"/>
          </w:tcPr>
          <w:p w14:paraId="235A800B">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27" w:type="dxa"/>
            <w:vMerge w:val="continue"/>
            <w:noWrap w:val="0"/>
            <w:vAlign w:val="center"/>
          </w:tcPr>
          <w:p w14:paraId="740C3C4E">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7D610B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6F870AA3">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55" w:type="dxa"/>
            <w:gridSpan w:val="2"/>
            <w:vMerge w:val="continue"/>
            <w:noWrap w:val="0"/>
            <w:vAlign w:val="center"/>
          </w:tcPr>
          <w:p w14:paraId="17591AC3">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6BBE3F09">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一般废弃包装物</w:t>
            </w:r>
          </w:p>
        </w:tc>
        <w:tc>
          <w:tcPr>
            <w:tcW w:w="1447" w:type="dxa"/>
            <w:vMerge w:val="continue"/>
            <w:noWrap w:val="0"/>
            <w:vAlign w:val="center"/>
          </w:tcPr>
          <w:p w14:paraId="4EBF4F53">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27" w:type="dxa"/>
            <w:vMerge w:val="continue"/>
            <w:noWrap w:val="0"/>
            <w:vAlign w:val="center"/>
          </w:tcPr>
          <w:p w14:paraId="5B776A50">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09B022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78" w:type="dxa"/>
            <w:vMerge w:val="continue"/>
            <w:noWrap w:val="0"/>
            <w:vAlign w:val="center"/>
          </w:tcPr>
          <w:p w14:paraId="5DA7CEFD">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55" w:type="dxa"/>
            <w:gridSpan w:val="2"/>
            <w:vMerge w:val="continue"/>
            <w:noWrap w:val="0"/>
            <w:vAlign w:val="center"/>
          </w:tcPr>
          <w:p w14:paraId="49458E33">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2AA77069">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废气瓶</w:t>
            </w:r>
          </w:p>
        </w:tc>
        <w:tc>
          <w:tcPr>
            <w:tcW w:w="1447" w:type="dxa"/>
            <w:noWrap w:val="0"/>
            <w:vAlign w:val="center"/>
          </w:tcPr>
          <w:p w14:paraId="25981A7F">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交回供应商回收利用</w:t>
            </w:r>
          </w:p>
        </w:tc>
        <w:tc>
          <w:tcPr>
            <w:tcW w:w="2427" w:type="dxa"/>
            <w:vMerge w:val="continue"/>
            <w:noWrap w:val="0"/>
            <w:vAlign w:val="center"/>
          </w:tcPr>
          <w:p w14:paraId="5EF4B551">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7D3293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78" w:type="dxa"/>
            <w:vMerge w:val="continue"/>
            <w:noWrap w:val="0"/>
            <w:vAlign w:val="center"/>
          </w:tcPr>
          <w:p w14:paraId="3F0B28A1">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55" w:type="dxa"/>
            <w:gridSpan w:val="2"/>
            <w:vMerge w:val="restart"/>
            <w:noWrap w:val="0"/>
            <w:vAlign w:val="center"/>
          </w:tcPr>
          <w:p w14:paraId="5923E7A5">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w:t>
            </w:r>
          </w:p>
        </w:tc>
        <w:tc>
          <w:tcPr>
            <w:tcW w:w="1393" w:type="dxa"/>
            <w:noWrap w:val="0"/>
            <w:vAlign w:val="center"/>
          </w:tcPr>
          <w:p w14:paraId="3D13E3D8">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w:t>
            </w:r>
            <w:r>
              <w:rPr>
                <w:rFonts w:hint="eastAsia" w:cs="Times New Roman"/>
                <w:color w:val="000000" w:themeColor="text1"/>
                <w:sz w:val="21"/>
                <w:szCs w:val="21"/>
                <w:highlight w:val="none"/>
                <w:lang w:val="en-US" w:eastAsia="zh-CN"/>
                <w14:textFill>
                  <w14:solidFill>
                    <w14:schemeClr w14:val="tx1"/>
                  </w14:solidFill>
                </w14:textFill>
              </w:rPr>
              <w:t>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油及其包装物</w:t>
            </w:r>
          </w:p>
        </w:tc>
        <w:tc>
          <w:tcPr>
            <w:tcW w:w="1447" w:type="dxa"/>
            <w:vMerge w:val="restart"/>
            <w:noWrap w:val="0"/>
            <w:vAlign w:val="center"/>
          </w:tcPr>
          <w:p w14:paraId="0D2269C3">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交具有相关危险废物经营许可证的单位处理</w:t>
            </w:r>
          </w:p>
        </w:tc>
        <w:tc>
          <w:tcPr>
            <w:tcW w:w="2427" w:type="dxa"/>
            <w:vMerge w:val="continue"/>
            <w:noWrap w:val="0"/>
            <w:vAlign w:val="center"/>
          </w:tcPr>
          <w:p w14:paraId="511A2A5F">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86F5B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778" w:type="dxa"/>
            <w:vMerge w:val="continue"/>
            <w:noWrap w:val="0"/>
            <w:vAlign w:val="center"/>
          </w:tcPr>
          <w:p w14:paraId="3CB10B95">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55" w:type="dxa"/>
            <w:gridSpan w:val="2"/>
            <w:vMerge w:val="continue"/>
            <w:noWrap w:val="0"/>
            <w:vAlign w:val="center"/>
          </w:tcPr>
          <w:p w14:paraId="24F14A58">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4152ECEE">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含油废抹布及废手套</w:t>
            </w:r>
          </w:p>
        </w:tc>
        <w:tc>
          <w:tcPr>
            <w:tcW w:w="1447" w:type="dxa"/>
            <w:vMerge w:val="continue"/>
            <w:noWrap w:val="0"/>
            <w:vAlign w:val="center"/>
          </w:tcPr>
          <w:p w14:paraId="2B9C6D25">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27" w:type="dxa"/>
            <w:vMerge w:val="continue"/>
            <w:noWrap w:val="0"/>
            <w:vAlign w:val="center"/>
          </w:tcPr>
          <w:p w14:paraId="2B4E4363">
            <w:pPr>
              <w:keepNext w:val="0"/>
              <w:keepLines w:val="0"/>
              <w:pageBreakBefore w:val="0"/>
              <w:shd w:val="clear"/>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142B53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22505972">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7E60F843">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388ED97C">
            <w:pPr>
              <w:shd w:val="clear"/>
              <w:spacing w:line="240" w:lineRule="auto"/>
              <w:ind w:firstLine="32"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废切削液</w:t>
            </w:r>
          </w:p>
        </w:tc>
        <w:tc>
          <w:tcPr>
            <w:tcW w:w="1447" w:type="dxa"/>
            <w:vMerge w:val="continue"/>
            <w:noWrap w:val="0"/>
            <w:vAlign w:val="center"/>
          </w:tcPr>
          <w:p w14:paraId="7AF092C2">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658A7AC8">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544BB1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0EE49DED">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51B034FB">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55D7EDD5">
            <w:pPr>
              <w:shd w:val="clear"/>
              <w:spacing w:line="240" w:lineRule="auto"/>
              <w:ind w:firstLine="32"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废包装物</w:t>
            </w:r>
          </w:p>
        </w:tc>
        <w:tc>
          <w:tcPr>
            <w:tcW w:w="1447" w:type="dxa"/>
            <w:vMerge w:val="continue"/>
            <w:noWrap w:val="0"/>
            <w:vAlign w:val="center"/>
          </w:tcPr>
          <w:p w14:paraId="4F400186">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2A5C26C9">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5457C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51A45C0C">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157B42AC">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77E23DE8">
            <w:pPr>
              <w:shd w:val="clear"/>
              <w:spacing w:line="240" w:lineRule="auto"/>
              <w:ind w:firstLine="32"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s="Times New Roman"/>
                <w:color w:val="000000" w:themeColor="text1"/>
                <w:sz w:val="21"/>
                <w:szCs w:val="21"/>
                <w:highlight w:val="none"/>
                <w:lang w:val="en-US" w:eastAsia="zh-CN"/>
                <w14:textFill>
                  <w14:solidFill>
                    <w14:schemeClr w14:val="tx1"/>
                  </w14:solidFill>
                </w14:textFill>
              </w:rPr>
              <w:t>废火花油及其包装物</w:t>
            </w:r>
          </w:p>
        </w:tc>
        <w:tc>
          <w:tcPr>
            <w:tcW w:w="1447" w:type="dxa"/>
            <w:vMerge w:val="continue"/>
            <w:noWrap w:val="0"/>
            <w:vAlign w:val="center"/>
          </w:tcPr>
          <w:p w14:paraId="02651665">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382B80B1">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DF560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39A4A427">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6AC6DC45">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359ECCC5">
            <w:pPr>
              <w:shd w:val="clear"/>
              <w:spacing w:line="240" w:lineRule="auto"/>
              <w:ind w:firstLine="32" w:firstLine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锌、铝熔渣</w:t>
            </w:r>
          </w:p>
        </w:tc>
        <w:tc>
          <w:tcPr>
            <w:tcW w:w="1447" w:type="dxa"/>
            <w:vMerge w:val="continue"/>
            <w:noWrap w:val="0"/>
            <w:vAlign w:val="center"/>
          </w:tcPr>
          <w:p w14:paraId="428633AC">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1C06FA28">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59A093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07CB784B">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0E6E71D1">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3C9573C4">
            <w:pPr>
              <w:shd w:val="clear"/>
              <w:spacing w:line="240" w:lineRule="auto"/>
              <w:ind w:firstLine="32"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喷淋沉渣</w:t>
            </w:r>
          </w:p>
        </w:tc>
        <w:tc>
          <w:tcPr>
            <w:tcW w:w="1447" w:type="dxa"/>
            <w:vMerge w:val="continue"/>
            <w:noWrap w:val="0"/>
            <w:vAlign w:val="center"/>
          </w:tcPr>
          <w:p w14:paraId="081DE383">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077B0565">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48257B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4ECA56AA">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57F3BD00">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1883405F">
            <w:pPr>
              <w:shd w:val="clear"/>
              <w:spacing w:line="240" w:lineRule="auto"/>
              <w:ind w:firstLine="32"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含切削液金属屑</w:t>
            </w:r>
          </w:p>
        </w:tc>
        <w:tc>
          <w:tcPr>
            <w:tcW w:w="1447" w:type="dxa"/>
            <w:vMerge w:val="continue"/>
            <w:noWrap w:val="0"/>
            <w:vAlign w:val="center"/>
          </w:tcPr>
          <w:p w14:paraId="4FBAD2D7">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089F327E">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2F9326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Merge w:val="continue"/>
            <w:noWrap w:val="0"/>
            <w:vAlign w:val="center"/>
          </w:tcPr>
          <w:p w14:paraId="139992C2">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55" w:type="dxa"/>
            <w:gridSpan w:val="2"/>
            <w:vMerge w:val="continue"/>
            <w:noWrap w:val="0"/>
            <w:vAlign w:val="center"/>
          </w:tcPr>
          <w:p w14:paraId="450572D0">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393" w:type="dxa"/>
            <w:noWrap w:val="0"/>
            <w:vAlign w:val="center"/>
          </w:tcPr>
          <w:p w14:paraId="525788DA">
            <w:pPr>
              <w:shd w:val="clear"/>
              <w:spacing w:line="240" w:lineRule="auto"/>
              <w:ind w:firstLine="32"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含油金属碎屑</w:t>
            </w:r>
          </w:p>
        </w:tc>
        <w:tc>
          <w:tcPr>
            <w:tcW w:w="1447" w:type="dxa"/>
            <w:vMerge w:val="continue"/>
            <w:noWrap w:val="0"/>
            <w:vAlign w:val="center"/>
          </w:tcPr>
          <w:p w14:paraId="5FEC0CE0">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427" w:type="dxa"/>
            <w:vMerge w:val="continue"/>
            <w:noWrap w:val="0"/>
            <w:vAlign w:val="center"/>
          </w:tcPr>
          <w:p w14:paraId="221AB556">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7732F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778" w:type="dxa"/>
            <w:noWrap w:val="0"/>
            <w:vAlign w:val="center"/>
          </w:tcPr>
          <w:p w14:paraId="4BEE44F3">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土壤及地下水污染防治措施</w:t>
            </w:r>
          </w:p>
        </w:tc>
        <w:tc>
          <w:tcPr>
            <w:tcW w:w="7022" w:type="dxa"/>
            <w:gridSpan w:val="5"/>
            <w:noWrap w:val="0"/>
            <w:vAlign w:val="center"/>
          </w:tcPr>
          <w:p w14:paraId="6D36FD52">
            <w:pPr>
              <w:keepNext w:val="0"/>
              <w:keepLines w:val="0"/>
              <w:suppressLineNumbers w:val="0"/>
              <w:shd w:val="clear"/>
              <w:spacing w:before="0" w:beforeAutospacing="0" w:after="0" w:afterAutospacing="0" w:line="360" w:lineRule="auto"/>
              <w:ind w:right="0"/>
              <w:jc w:val="both"/>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地下水污染防治措施：</w:t>
            </w:r>
          </w:p>
          <w:p w14:paraId="45895B4C">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（1）加强对工业三废的治理，开展回收利用工作，严格控制三废排放标准，消除生产设备和管道“跑、冒、滴、漏”现象。</w:t>
            </w:r>
          </w:p>
          <w:p w14:paraId="2CD39536">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（2）一旦发现地下水被污染，应该立即查明污染源，并采取紧急措施，制止污染进一步扩散，然后对污染区域进行逐步净化。</w:t>
            </w:r>
          </w:p>
          <w:p w14:paraId="59CD17E9">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（3）加大宣传力度，提高公众环保意识。</w:t>
            </w:r>
          </w:p>
          <w:p w14:paraId="4C4D17E6">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（4）制定地下水环境影响跟踪监测计划，定期开展跟踪监测。</w:t>
            </w:r>
          </w:p>
          <w:p w14:paraId="3A6223D8">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（5）根据《关于印发&lt;地下水污染源防渗技术指南(试行)&gt;</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进行分区防控，将整项目划分为重点防渗区、一般防渗区及简单防渗区：</w:t>
            </w:r>
          </w:p>
          <w:p w14:paraId="40992DF2">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①重点污染防渗区：</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危废</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间</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r>
              <w:rPr>
                <w:rFonts w:hint="default" w:ascii="Times New Roman" w:hAnsi="Times New Roman" w:cs="Times New Roman"/>
                <w:b w:val="0"/>
                <w:bCs w:val="0"/>
                <w:color w:val="000000" w:themeColor="text1"/>
                <w:kern w:val="2"/>
                <w:sz w:val="21"/>
                <w:szCs w:val="21"/>
                <w:highlight w:val="none"/>
                <w:vertAlign w:val="baseline"/>
                <w:lang w:val="en-US" w:eastAsia="zh-CN" w:bidi="ar-SA"/>
                <w14:textFill>
                  <w14:solidFill>
                    <w14:schemeClr w14:val="tx1"/>
                  </w14:solidFill>
                </w14:textFill>
              </w:rPr>
              <w:t>生产区、</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废水暂存区、原料区、成品区、半成品区</w:t>
            </w:r>
            <w:r>
              <w:rPr>
                <w:rFonts w:hint="default" w:ascii="Times New Roman" w:hAnsi="Times New Roman" w:eastAsia="宋体" w:cs="Times New Roman"/>
                <w:color w:val="000000" w:themeColor="text1"/>
                <w:sz w:val="21"/>
                <w:szCs w:val="21"/>
                <w:highlight w:val="none"/>
                <w14:textFill>
                  <w14:solidFill>
                    <w14:schemeClr w14:val="tx1"/>
                  </w14:solidFill>
                </w14:textFill>
              </w:rPr>
              <w:t>等。其防渗层的防渗性能应不低于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150m</w:t>
            </w:r>
            <w:r>
              <w:rPr>
                <w:rFonts w:hint="default" w:ascii="Times New Roman" w:hAnsi="Times New Roman" w:eastAsia="宋体" w:cs="Times New Roman"/>
                <w:color w:val="000000" w:themeColor="text1"/>
                <w:sz w:val="21"/>
                <w:szCs w:val="21"/>
                <w:highlight w:val="none"/>
                <w14:textFill>
                  <w14:solidFill>
                    <w14:schemeClr w14:val="tx1"/>
                  </w14:solidFill>
                </w14:textFill>
              </w:rPr>
              <w:t>m厚、渗透系数</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≤1.0×10</w:t>
            </w:r>
            <w:r>
              <w:rPr>
                <w:rFonts w:hint="default"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cm/s</w:t>
            </w:r>
            <w:r>
              <w:rPr>
                <w:rFonts w:hint="default" w:ascii="Times New Roman" w:hAnsi="Times New Roman" w:eastAsia="宋体" w:cs="Times New Roman"/>
                <w:color w:val="000000" w:themeColor="text1"/>
                <w:sz w:val="21"/>
                <w:szCs w:val="21"/>
                <w:highlight w:val="none"/>
                <w14:textFill>
                  <w14:solidFill>
                    <w14:schemeClr w14:val="tx1"/>
                  </w14:solidFill>
                </w14:textFill>
              </w:rPr>
              <w:t>的等效黏土防渗层，可采用混凝土防渗处理，如采用水泥基防渗结晶型防水涂料刷涂或喷涂在混凝土表面，形成防渗层。埋地管线内衬、污水构筑物内衬采取有效防渗。防渗工程的设计使用年限不应低于其主体工程的设计使用年限，且不得少于10年。混凝土表面需采取抗渗措施。</w:t>
            </w:r>
          </w:p>
          <w:p w14:paraId="21BEAC2A">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②一般污染防渗区：</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除危废</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间</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r>
              <w:rPr>
                <w:rFonts w:hint="default" w:ascii="Times New Roman" w:hAnsi="Times New Roman" w:cs="Times New Roman"/>
                <w:b w:val="0"/>
                <w:bCs w:val="0"/>
                <w:color w:val="000000" w:themeColor="text1"/>
                <w:kern w:val="2"/>
                <w:sz w:val="21"/>
                <w:szCs w:val="21"/>
                <w:highlight w:val="none"/>
                <w:vertAlign w:val="baseline"/>
                <w:lang w:val="en-US" w:eastAsia="zh-CN" w:bidi="ar-SA"/>
                <w14:textFill>
                  <w14:solidFill>
                    <w14:schemeClr w14:val="tx1"/>
                  </w14:solidFill>
                </w14:textFill>
              </w:rPr>
              <w:t>原料区、成品区、半成品区</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w:t>
            </w:r>
            <w:r>
              <w:rPr>
                <w:rFonts w:hint="default" w:ascii="Times New Roman" w:hAnsi="Times New Roman" w:cs="Times New Roman"/>
                <w:b w:val="0"/>
                <w:bCs w:val="0"/>
                <w:color w:val="000000" w:themeColor="text1"/>
                <w:kern w:val="2"/>
                <w:sz w:val="21"/>
                <w:szCs w:val="21"/>
                <w:highlight w:val="none"/>
                <w:vertAlign w:val="baseline"/>
                <w:lang w:val="en-US" w:eastAsia="zh-CN" w:bidi="ar-SA"/>
                <w14:textFill>
                  <w14:solidFill>
                    <w14:schemeClr w14:val="tx1"/>
                  </w14:solidFill>
                </w14:textFill>
              </w:rPr>
              <w:t>生产区</w:t>
            </w:r>
            <w:r>
              <w:rPr>
                <w:rFonts w:hint="eastAsia" w:cs="Times New Roman"/>
                <w:b w:val="0"/>
                <w:bCs w:val="0"/>
                <w:color w:val="000000" w:themeColor="text1"/>
                <w:kern w:val="2"/>
                <w:sz w:val="21"/>
                <w:szCs w:val="21"/>
                <w:highlight w:val="none"/>
                <w:vertAlign w:val="baseline"/>
                <w:lang w:val="en-US" w:eastAsia="zh-CN" w:bidi="ar-SA"/>
                <w14:textFill>
                  <w14:solidFill>
                    <w14:schemeClr w14:val="tx1"/>
                  </w14:solidFill>
                </w14:textFill>
              </w:rPr>
              <w:t>、废水暂存区</w:t>
            </w: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以外的区域</w:t>
            </w:r>
            <w:r>
              <w:rPr>
                <w:rFonts w:hint="default" w:ascii="Times New Roman" w:hAnsi="Times New Roman" w:eastAsia="宋体" w:cs="Times New Roman"/>
                <w:color w:val="000000" w:themeColor="text1"/>
                <w:sz w:val="21"/>
                <w:szCs w:val="21"/>
                <w:highlight w:val="none"/>
                <w14:textFill>
                  <w14:solidFill>
                    <w14:schemeClr w14:val="tx1"/>
                  </w14:solidFill>
                </w14:textFill>
              </w:rPr>
              <w:t>。防渗层的防渗性能应不低于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100m</w:t>
            </w:r>
            <w:r>
              <w:rPr>
                <w:rFonts w:hint="default" w:ascii="Times New Roman" w:hAnsi="Times New Roman" w:eastAsia="宋体" w:cs="Times New Roman"/>
                <w:color w:val="000000" w:themeColor="text1"/>
                <w:sz w:val="21"/>
                <w:szCs w:val="21"/>
                <w:highlight w:val="none"/>
                <w14:textFill>
                  <w14:solidFill>
                    <w14:schemeClr w14:val="tx1"/>
                  </w14:solidFill>
                </w14:textFill>
              </w:rPr>
              <w:t>m厚、渗透系数</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≤1.0×10</w:t>
            </w:r>
            <w:r>
              <w:rPr>
                <w:rFonts w:hint="default"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-8</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cm/s</w:t>
            </w:r>
            <w:r>
              <w:rPr>
                <w:rFonts w:hint="default" w:ascii="Times New Roman" w:hAnsi="Times New Roman" w:eastAsia="宋体" w:cs="Times New Roman"/>
                <w:color w:val="000000" w:themeColor="text1"/>
                <w:sz w:val="21"/>
                <w:szCs w:val="21"/>
                <w:highlight w:val="none"/>
                <w14:textFill>
                  <w14:solidFill>
                    <w14:schemeClr w14:val="tx1"/>
                  </w14:solidFill>
                </w14:textFill>
              </w:rPr>
              <w:t>的等效黏土防渗层。</w:t>
            </w:r>
          </w:p>
          <w:p w14:paraId="4E44F818">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0"/>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③简单防渗区：上述区域外的其他区域，</w:t>
            </w:r>
            <w:r>
              <w:rPr>
                <w:rFonts w:hint="default" w:ascii="Times New Roman" w:hAnsi="Times New Roman" w:eastAsia="宋体" w:cs="Times New Roman"/>
                <w:color w:val="000000" w:themeColor="text1"/>
                <w:kern w:val="0"/>
                <w:sz w:val="21"/>
                <w:szCs w:val="21"/>
                <w:highlight w:val="none"/>
                <w:lang w:val="en-US"/>
                <w14:textFill>
                  <w14:solidFill>
                    <w14:schemeClr w14:val="tx1"/>
                  </w14:solidFill>
                </w14:textFill>
              </w:rPr>
              <w:t>一般不做防渗要求。发生</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泄漏事故</w:t>
            </w:r>
            <w:r>
              <w:rPr>
                <w:rFonts w:hint="default" w:ascii="Times New Roman" w:hAnsi="Times New Roman" w:eastAsia="宋体" w:cs="Times New Roman"/>
                <w:color w:val="000000" w:themeColor="text1"/>
                <w:kern w:val="0"/>
                <w:sz w:val="21"/>
                <w:szCs w:val="21"/>
                <w:highlight w:val="none"/>
                <w:lang w:val="en-US"/>
                <w14:textFill>
                  <w14:solidFill>
                    <w14:schemeClr w14:val="tx1"/>
                  </w14:solidFill>
                </w14:textFill>
              </w:rPr>
              <w:t>，及时采取紧急措施，不任由物料、污染物渗漏进入土壤，并及时对破损的设施采取修复措施。</w:t>
            </w:r>
          </w:p>
          <w:p w14:paraId="790834DF">
            <w:pPr>
              <w:keepNext w:val="0"/>
              <w:keepLines w:val="0"/>
              <w:suppressLineNumbers w:val="0"/>
              <w:shd w:val="clear"/>
              <w:spacing w:before="0" w:beforeAutospacing="0" w:after="0" w:afterAutospacing="0" w:line="360" w:lineRule="auto"/>
              <w:ind w:right="0"/>
              <w:jc w:val="both"/>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土壤污染防治措施：</w:t>
            </w:r>
          </w:p>
          <w:p w14:paraId="5237816D">
            <w:pPr>
              <w:keepNext w:val="0"/>
              <w:keepLines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危险废物暂存区应该严格参照《危险废物贮存污染控制标准》（GB18597-20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3）要求做好设置防风防雨防晒防渗漏，危废堆场基础必须防渗，防渗层为至少2mm厚高密度聚乙烯或2mm厚</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其他人工</w:t>
            </w:r>
            <w:r>
              <w:rPr>
                <w:rFonts w:hint="default" w:ascii="Times New Roman" w:hAnsi="Times New Roman" w:eastAsia="宋体" w:cs="Times New Roman"/>
                <w:color w:val="000000" w:themeColor="text1"/>
                <w:sz w:val="21"/>
                <w:szCs w:val="21"/>
                <w:highlight w:val="none"/>
                <w14:textFill>
                  <w14:solidFill>
                    <w14:schemeClr w14:val="tx1"/>
                  </w14:solidFill>
                </w14:textFill>
              </w:rPr>
              <w:t>材料，保证渗透系数≤10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cm/s。</w:t>
            </w:r>
          </w:p>
          <w:p w14:paraId="077F4C2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危废暂存区、生产废水暂存区域、化学品储存场所、生产车间采取严格的分区防腐防渗措施；各类污染物均采取了对应的污染治理措施，确保污染物的达标排放。</w:t>
            </w:r>
            <w:r>
              <w:rPr>
                <w:rFonts w:hint="default" w:ascii="Times New Roman" w:hAnsi="Times New Roman" w:eastAsia="宋体" w:cs="Times New Roman"/>
                <w:color w:val="000000" w:themeColor="text1"/>
                <w:sz w:val="21"/>
                <w:szCs w:val="21"/>
                <w:highlight w:val="none"/>
                <w14:textFill>
                  <w14:solidFill>
                    <w14:schemeClr w14:val="tx1"/>
                  </w14:solidFill>
                </w14:textFill>
              </w:rPr>
              <w:t>运营期加强对废气处理设施的维护和保养，设置专人管理，若发生非正常工况排放可做到及时发现、及时修复，短时间非正常工况排放污染物不会对周边土壤环境造成影响。</w:t>
            </w:r>
          </w:p>
        </w:tc>
      </w:tr>
      <w:tr w14:paraId="70B58A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778" w:type="dxa"/>
            <w:noWrap w:val="0"/>
            <w:vAlign w:val="center"/>
          </w:tcPr>
          <w:p w14:paraId="6711824B">
            <w:pPr>
              <w:keepNext w:val="0"/>
              <w:keepLines w:val="0"/>
              <w:pageBreakBefore w:val="0"/>
              <w:widowControl w:val="0"/>
              <w:shd w:val="clear"/>
              <w:kinsoku/>
              <w:wordWrap/>
              <w:overflowPunct w:val="0"/>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生态保护措施</w:t>
            </w:r>
          </w:p>
        </w:tc>
        <w:tc>
          <w:tcPr>
            <w:tcW w:w="7022" w:type="dxa"/>
            <w:gridSpan w:val="5"/>
            <w:noWrap w:val="0"/>
            <w:vAlign w:val="center"/>
          </w:tcPr>
          <w:p w14:paraId="0AF68674">
            <w:pPr>
              <w:keepNext w:val="0"/>
              <w:keepLines w:val="0"/>
              <w:pageBreakBefore w:val="0"/>
              <w:widowControl w:val="0"/>
              <w:shd w:val="clear"/>
              <w:kinsoku/>
              <w:wordWrap/>
              <w:topLinePunct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r>
      <w:tr w14:paraId="689A95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5C989749">
            <w:pPr>
              <w:shd w:val="clear"/>
              <w:adjustRightInd w:val="0"/>
              <w:snapToGrid w:val="0"/>
              <w:spacing w:line="36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环境风险</w:t>
            </w:r>
          </w:p>
          <w:p w14:paraId="77FBB079">
            <w:pPr>
              <w:shd w:val="clear"/>
              <w:adjustRightInd w:val="0"/>
              <w:snapToGrid w:val="0"/>
              <w:spacing w:line="36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防范措施</w:t>
            </w:r>
          </w:p>
        </w:tc>
        <w:tc>
          <w:tcPr>
            <w:tcW w:w="7022" w:type="dxa"/>
            <w:gridSpan w:val="5"/>
            <w:noWrap w:val="0"/>
            <w:vAlign w:val="center"/>
          </w:tcPr>
          <w:p w14:paraId="235A2B94">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严格按照《建筑设计防火规范》（GB50016-2014）相关要求对厂区平面布局进行合理布置；</w:t>
            </w:r>
          </w:p>
          <w:p w14:paraId="5CA80149">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按照防爆规定配置电气设备及照明设施等，严格控制其他生产区域及仓储区域明火及其他火种；</w:t>
            </w:r>
          </w:p>
          <w:p w14:paraId="395AE82B">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按要求合理设置厂区内消火栓、灭火器等消防设施，并安排专人进行保养维护，确保其处在正常工况下；</w:t>
            </w:r>
          </w:p>
          <w:p w14:paraId="2293A6D2">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强化管理，提高作业人员业务素质</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14:paraId="56F5220A">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做好厂区日常管理工作，厂区各个通道应保持畅通，严禁在通道内堆放各类物料，化学品仓库设置围堰，做好防渗措施；</w:t>
            </w:r>
          </w:p>
          <w:p w14:paraId="11419E00">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按要求厂区设置缓坡，配套应急收集桶及收集设施，防止事故消防废水</w:t>
            </w:r>
            <w:r>
              <w:rPr>
                <w:rFonts w:hint="default" w:ascii="Times New Roman" w:hAnsi="Times New Roman" w:cs="Times New Roman"/>
                <w:color w:val="000000" w:themeColor="text1"/>
                <w:sz w:val="21"/>
                <w:szCs w:val="21"/>
                <w:highlight w:val="none"/>
                <w:lang w:eastAsia="zh-CN"/>
                <w14:textFill>
                  <w14:solidFill>
                    <w14:schemeClr w14:val="tx1"/>
                  </w14:solidFill>
                </w14:textFill>
              </w:rPr>
              <w:t>进入</w:t>
            </w:r>
            <w:r>
              <w:rPr>
                <w:rFonts w:hint="default" w:ascii="Times New Roman" w:hAnsi="Times New Roman" w:eastAsia="宋体" w:cs="Times New Roman"/>
                <w:color w:val="000000" w:themeColor="text1"/>
                <w:sz w:val="21"/>
                <w:szCs w:val="21"/>
                <w:highlight w:val="none"/>
                <w14:textFill>
                  <w14:solidFill>
                    <w14:schemeClr w14:val="tx1"/>
                  </w14:solidFill>
                </w14:textFill>
              </w:rPr>
              <w:t>外环境</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废水收集后统一交给</w:t>
            </w: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具有</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废水处理能力的公司转移处理。</w:t>
            </w:r>
          </w:p>
          <w:p w14:paraId="1771F550">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由专人负责，危废仓设置围堰，做好防风、防雨、防晒、防渗漏。禁止将不相容（相互反应）的危险废物在容器内混装。装载液体、半固体危险废物的容器内须留足够空间，容器顶部与液体表面之间保留100mm以上的空间。装载危险废物的容器必须完好无损。</w:t>
            </w:r>
          </w:p>
          <w:p w14:paraId="59ACFF24">
            <w:pPr>
              <w:keepNext w:val="0"/>
              <w:keepLines w:val="0"/>
              <w:pageBreakBefore w:val="0"/>
              <w:widowControl/>
              <w:shd w:val="clear"/>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运营期加强对废气处理设施的维护和保养，设置专人管理，若发生非正常工况排放可做到及时发现、及时修复，短时间非正常工况排放污染物不会对周边环境造成影响。</w:t>
            </w:r>
          </w:p>
        </w:tc>
      </w:tr>
      <w:tr w14:paraId="6B9623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noWrap w:val="0"/>
            <w:vAlign w:val="center"/>
          </w:tcPr>
          <w:p w14:paraId="0BF8D4E6">
            <w:pPr>
              <w:shd w:val="clear"/>
              <w:adjustRightInd w:val="0"/>
              <w:snapToGrid w:val="0"/>
              <w:spacing w:line="36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其他环境</w:t>
            </w:r>
          </w:p>
          <w:p w14:paraId="741D75CB">
            <w:pPr>
              <w:shd w:val="clear"/>
              <w:adjustRightInd w:val="0"/>
              <w:snapToGrid w:val="0"/>
              <w:spacing w:line="36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管理要求</w:t>
            </w:r>
          </w:p>
        </w:tc>
        <w:tc>
          <w:tcPr>
            <w:tcW w:w="7022" w:type="dxa"/>
            <w:gridSpan w:val="5"/>
            <w:noWrap w:val="0"/>
            <w:vAlign w:val="center"/>
          </w:tcPr>
          <w:p w14:paraId="5304E2D2">
            <w:pPr>
              <w:shd w:val="clear"/>
              <w:adjustRightInd w:val="0"/>
              <w:snapToGrid w:val="0"/>
              <w:spacing w:line="36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r>
    </w:tbl>
    <w:p w14:paraId="3E37ACCA">
      <w:pPr>
        <w:pStyle w:val="3"/>
        <w:shd w:val="clear"/>
        <w:bidi w:val="0"/>
        <w:jc w:val="center"/>
        <w:rPr>
          <w:rFonts w:hint="default" w:ascii="Times New Roman" w:hAnsi="Times New Roman" w:eastAsia="宋体" w:cs="Times New Roman"/>
          <w:color w:val="000000" w:themeColor="text1"/>
          <w:sz w:val="32"/>
          <w:szCs w:val="32"/>
          <w:highlight w:val="none"/>
          <w14:textFill>
            <w14:solidFill>
              <w14:schemeClr w14:val="tx1"/>
            </w14:solidFill>
          </w14:textFill>
        </w:rPr>
      </w:pPr>
      <w:r>
        <w:rPr>
          <w:rFonts w:hint="default" w:ascii="Times New Roman" w:hAnsi="Times New Roman" w:eastAsia="宋体" w:cs="Times New Roman"/>
          <w:snapToGrid w:val="0"/>
          <w:color w:val="000000" w:themeColor="text1"/>
          <w:highlight w:val="none"/>
          <w14:textFill>
            <w14:solidFill>
              <w14:schemeClr w14:val="tx1"/>
            </w14:solidFill>
          </w14:textFill>
        </w:rPr>
        <w:br w:type="page"/>
      </w:r>
      <w:bookmarkStart w:id="11" w:name="_Toc12785"/>
      <w:r>
        <w:rPr>
          <w:rFonts w:hint="default" w:ascii="Times New Roman" w:hAnsi="Times New Roman" w:eastAsia="宋体" w:cs="Times New Roman"/>
          <w:color w:val="000000" w:themeColor="text1"/>
          <w:sz w:val="32"/>
          <w:szCs w:val="32"/>
          <w:highlight w:val="none"/>
          <w14:textFill>
            <w14:solidFill>
              <w14:schemeClr w14:val="tx1"/>
            </w14:solidFill>
          </w14:textFill>
        </w:rPr>
        <w:t>六、结论</w:t>
      </w:r>
      <w:bookmarkEnd w:id="11"/>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6C395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5943AB4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right="0" w:firstLine="420" w:firstLineChars="200"/>
              <w:jc w:val="both"/>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项目的建设符合城市发展规划，符合国家、广东省及中山市相关产业政策和环保政策的要求。该项目不在地表水饮用水源保护区、风景名胜区、农田保护区、生态保护区、堤外用地等区域保护范围内，选址合理。只要建设单位严格执行有关的环保法规，按本报告中所述的各项污染控制措施加以严格实施，并确保日后的正常运行，做到达标排放，将污染物对周围环境的影响降到最低，该项目的建设从环境保护的角度来看是可行的。</w:t>
            </w:r>
          </w:p>
        </w:tc>
      </w:tr>
    </w:tbl>
    <w:p w14:paraId="6F0B9E3E">
      <w:pPr>
        <w:shd w:val="clear"/>
        <w:rPr>
          <w:rFonts w:hint="default" w:ascii="Times New Roman" w:hAnsi="Times New Roman" w:eastAsia="宋体" w:cs="Times New Roman"/>
          <w:color w:val="000000" w:themeColor="text1"/>
          <w:highlight w:val="none"/>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p>
    <w:p w14:paraId="503BB8B7">
      <w:pPr>
        <w:shd w:val="clear"/>
        <w:bidi w:val="0"/>
        <w:rPr>
          <w:rFonts w:hint="default" w:ascii="Times New Roman" w:hAnsi="Times New Roman" w:eastAsia="宋体" w:cs="Times New Roman"/>
          <w:color w:val="000000" w:themeColor="text1"/>
          <w:sz w:val="32"/>
          <w:szCs w:val="32"/>
          <w:highlight w:val="none"/>
          <w14:textFill>
            <w14:solidFill>
              <w14:schemeClr w14:val="tx1"/>
            </w14:solidFill>
          </w14:textFill>
        </w:rPr>
      </w:pPr>
      <w:r>
        <w:rPr>
          <w:rFonts w:hint="default" w:ascii="Times New Roman" w:hAnsi="Times New Roman" w:eastAsia="宋体" w:cs="Times New Roman"/>
          <w:color w:val="000000" w:themeColor="text1"/>
          <w:sz w:val="32"/>
          <w:szCs w:val="32"/>
          <w:highlight w:val="none"/>
          <w14:textFill>
            <w14:solidFill>
              <w14:schemeClr w14:val="tx1"/>
            </w14:solidFill>
          </w14:textFill>
        </w:rPr>
        <w:t>附表</w:t>
      </w:r>
    </w:p>
    <w:p w14:paraId="17B9DA5A">
      <w:pPr>
        <w:pStyle w:val="3"/>
        <w:shd w:val="clear"/>
        <w:bidi w:val="0"/>
        <w:spacing w:line="240" w:lineRule="auto"/>
        <w:jc w:val="center"/>
        <w:rPr>
          <w:rFonts w:hint="default" w:ascii="Times New Roman" w:hAnsi="Times New Roman" w:eastAsia="宋体" w:cs="Times New Roman"/>
          <w:color w:val="000000" w:themeColor="text1"/>
          <w:highlight w:val="none"/>
          <w14:textFill>
            <w14:solidFill>
              <w14:schemeClr w14:val="tx1"/>
            </w14:solidFill>
          </w14:textFill>
        </w:rPr>
      </w:pPr>
      <w:bookmarkStart w:id="12" w:name="_Toc7164"/>
      <w:bookmarkStart w:id="13" w:name="_Toc7485"/>
      <w:bookmarkStart w:id="14" w:name="_Toc8666"/>
      <w:bookmarkStart w:id="15" w:name="_Toc18370"/>
      <w:r>
        <w:rPr>
          <w:rFonts w:hint="default" w:ascii="Times New Roman" w:hAnsi="Times New Roman" w:eastAsia="宋体" w:cs="Times New Roman"/>
          <w:color w:val="000000" w:themeColor="text1"/>
          <w:highlight w:val="none"/>
          <w14:textFill>
            <w14:solidFill>
              <w14:schemeClr w14:val="tx1"/>
            </w14:solidFill>
          </w14:textFill>
        </w:rPr>
        <w:t>建设项目污染物排放量汇总</w:t>
      </w:r>
      <w:bookmarkEnd w:id="12"/>
      <w:bookmarkEnd w:id="13"/>
      <w:r>
        <w:rPr>
          <w:rFonts w:hint="default" w:ascii="Times New Roman" w:hAnsi="Times New Roman" w:eastAsia="宋体" w:cs="Times New Roman"/>
          <w:color w:val="000000" w:themeColor="text1"/>
          <w:highlight w:val="none"/>
          <w14:textFill>
            <w14:solidFill>
              <w14:schemeClr w14:val="tx1"/>
            </w14:solidFill>
          </w14:textFill>
        </w:rPr>
        <w:t>表</w:t>
      </w:r>
      <w:bookmarkEnd w:id="14"/>
      <w:bookmarkEnd w:id="15"/>
    </w:p>
    <w:tbl>
      <w:tblPr>
        <w:tblStyle w:val="33"/>
        <w:tblW w:w="1410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717"/>
        <w:gridCol w:w="1401"/>
        <w:gridCol w:w="1276"/>
        <w:gridCol w:w="1701"/>
        <w:gridCol w:w="1559"/>
        <w:gridCol w:w="1651"/>
        <w:gridCol w:w="1682"/>
        <w:gridCol w:w="1527"/>
      </w:tblGrid>
      <w:tr w14:paraId="213BB3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46EF5DA8">
            <w:pPr>
              <w:pStyle w:val="65"/>
              <w:shd w:val="clear"/>
              <w:spacing w:beforeLines="0" w:afterLines="0" w:line="240" w:lineRule="auto"/>
              <w:jc w:val="right"/>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项目</w:t>
            </w:r>
          </w:p>
          <w:p w14:paraId="233E3AC5">
            <w:pPr>
              <w:pStyle w:val="65"/>
              <w:shd w:val="clear"/>
              <w:spacing w:beforeLines="0" w:afterLines="0" w:line="240" w:lineRule="auto"/>
              <w:jc w:val="left"/>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分类</w:t>
            </w:r>
          </w:p>
        </w:tc>
        <w:tc>
          <w:tcPr>
            <w:tcW w:w="1717" w:type="dxa"/>
            <w:noWrap w:val="0"/>
            <w:tcMar>
              <w:left w:w="28" w:type="dxa"/>
              <w:right w:w="28" w:type="dxa"/>
            </w:tcMar>
            <w:vAlign w:val="center"/>
          </w:tcPr>
          <w:p w14:paraId="0EAEE874">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污染物名称</w:t>
            </w:r>
          </w:p>
        </w:tc>
        <w:tc>
          <w:tcPr>
            <w:tcW w:w="1401" w:type="dxa"/>
            <w:noWrap w:val="0"/>
            <w:tcMar>
              <w:left w:w="28" w:type="dxa"/>
              <w:right w:w="28" w:type="dxa"/>
            </w:tcMar>
            <w:vAlign w:val="center"/>
          </w:tcPr>
          <w:p w14:paraId="6FD393DF">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现有工程</w:t>
            </w:r>
          </w:p>
          <w:p w14:paraId="3CD8F50E">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排放量（固体废物产生量）</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Cs w:val="21"/>
                <w:highlight w:val="none"/>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end"/>
            </w:r>
          </w:p>
        </w:tc>
        <w:tc>
          <w:tcPr>
            <w:tcW w:w="1276" w:type="dxa"/>
            <w:noWrap w:val="0"/>
            <w:tcMar>
              <w:left w:w="28" w:type="dxa"/>
              <w:right w:w="28" w:type="dxa"/>
            </w:tcMar>
            <w:vAlign w:val="center"/>
          </w:tcPr>
          <w:p w14:paraId="4ED37712">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现有工程</w:t>
            </w:r>
          </w:p>
          <w:p w14:paraId="274598A6">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许可排放量</w:t>
            </w:r>
          </w:p>
          <w:p w14:paraId="7FE3446F">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instrText xml:space="preserve"> = 2 \* GB3 \* MERGEFORMAT </w:instrTex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②</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end"/>
            </w:r>
          </w:p>
        </w:tc>
        <w:tc>
          <w:tcPr>
            <w:tcW w:w="1701" w:type="dxa"/>
            <w:noWrap w:val="0"/>
            <w:tcMar>
              <w:left w:w="28" w:type="dxa"/>
              <w:right w:w="28" w:type="dxa"/>
            </w:tcMar>
            <w:vAlign w:val="center"/>
          </w:tcPr>
          <w:p w14:paraId="01917779">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在建工程</w:t>
            </w:r>
          </w:p>
          <w:p w14:paraId="314660B9">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排放量（固体废物产生量）</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instrText xml:space="preserve"> = 3 \* GB3 \* MERGEFORMAT </w:instrTex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Cs w:val="21"/>
                <w:highlight w:val="none"/>
                <w14:textFill>
                  <w14:solidFill>
                    <w14:schemeClr w14:val="tx1"/>
                  </w14:solidFill>
                </w14:textFill>
              </w:rPr>
              <w:t>③</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end"/>
            </w:r>
          </w:p>
        </w:tc>
        <w:tc>
          <w:tcPr>
            <w:tcW w:w="1559" w:type="dxa"/>
            <w:noWrap w:val="0"/>
            <w:tcMar>
              <w:left w:w="28" w:type="dxa"/>
              <w:right w:w="28" w:type="dxa"/>
            </w:tcMar>
            <w:vAlign w:val="center"/>
          </w:tcPr>
          <w:p w14:paraId="2D3D75E8">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本项目</w:t>
            </w:r>
          </w:p>
          <w:p w14:paraId="45B2DE6E">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排放量（固体废物产生量）</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instrText xml:space="preserve"> = 4 \* GB3 \* MERGEFORMAT </w:instrTex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Cs w:val="21"/>
                <w:highlight w:val="none"/>
                <w14:textFill>
                  <w14:solidFill>
                    <w14:schemeClr w14:val="tx1"/>
                  </w14:solidFill>
                </w14:textFill>
              </w:rPr>
              <w:t>④</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end"/>
            </w:r>
          </w:p>
        </w:tc>
        <w:tc>
          <w:tcPr>
            <w:tcW w:w="1651" w:type="dxa"/>
            <w:noWrap w:val="0"/>
            <w:tcMar>
              <w:left w:w="28" w:type="dxa"/>
              <w:right w:w="28" w:type="dxa"/>
            </w:tcMar>
            <w:vAlign w:val="center"/>
          </w:tcPr>
          <w:p w14:paraId="0A74516C">
            <w:pPr>
              <w:pStyle w:val="65"/>
              <w:shd w:val="clear"/>
              <w:spacing w:beforeLines="0" w:afterLines="0" w:line="240" w:lineRule="auto"/>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t>以新带老削减量</w:t>
            </w:r>
          </w:p>
          <w:p w14:paraId="1B2B841E">
            <w:pPr>
              <w:pStyle w:val="65"/>
              <w:shd w:val="clear"/>
              <w:spacing w:beforeLines="0" w:afterLines="0" w:line="240" w:lineRule="auto"/>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t>（新建项目不填）</w: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instrText xml:space="preserve"> = 5 \* GB3 \* MERGEFORMAT </w:instrTex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Cs w:val="21"/>
                <w:highlight w:val="none"/>
                <w14:textFill>
                  <w14:solidFill>
                    <w14:schemeClr w14:val="tx1"/>
                  </w14:solidFill>
                </w14:textFill>
              </w:rPr>
              <w:t>⑤</w: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end"/>
            </w:r>
          </w:p>
        </w:tc>
        <w:tc>
          <w:tcPr>
            <w:tcW w:w="1682" w:type="dxa"/>
            <w:noWrap w:val="0"/>
            <w:tcMar>
              <w:left w:w="28" w:type="dxa"/>
              <w:right w:w="28" w:type="dxa"/>
            </w:tcMar>
            <w:vAlign w:val="center"/>
          </w:tcPr>
          <w:p w14:paraId="41069E7F">
            <w:pPr>
              <w:pStyle w:val="65"/>
              <w:shd w:val="clear"/>
              <w:spacing w:beforeLines="0" w:afterLines="0" w:line="240" w:lineRule="auto"/>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t>本项目建成后</w:t>
            </w:r>
          </w:p>
          <w:p w14:paraId="21D60F37">
            <w:pPr>
              <w:pStyle w:val="65"/>
              <w:shd w:val="clear"/>
              <w:spacing w:beforeLines="0" w:afterLines="0" w:line="240" w:lineRule="auto"/>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t>全厂排放量（固体废物产生量）</w: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Cs w:val="21"/>
                <w:highlight w:val="none"/>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end"/>
            </w:r>
          </w:p>
        </w:tc>
        <w:tc>
          <w:tcPr>
            <w:tcW w:w="1527" w:type="dxa"/>
            <w:noWrap w:val="0"/>
            <w:tcMar>
              <w:left w:w="28" w:type="dxa"/>
              <w:right w:w="28" w:type="dxa"/>
            </w:tcMar>
            <w:vAlign w:val="center"/>
          </w:tcPr>
          <w:p w14:paraId="0FED6CA2">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变化量</w:t>
            </w:r>
          </w:p>
          <w:p w14:paraId="0154D9A7">
            <w:pPr>
              <w:pStyle w:val="65"/>
              <w:shd w:val="clear"/>
              <w:spacing w:beforeLines="0" w:afterLines="0" w:line="240" w:lineRule="auto"/>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instrText xml:space="preserve"> = 7 \* GB3 \* MERGEFORMAT </w:instrTex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Cs w:val="21"/>
                <w:highlight w:val="none"/>
                <w14:textFill>
                  <w14:solidFill>
                    <w14:schemeClr w14:val="tx1"/>
                  </w14:solidFill>
                </w14:textFill>
              </w:rPr>
              <w:t>⑦</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end"/>
            </w:r>
          </w:p>
        </w:tc>
      </w:tr>
      <w:tr w14:paraId="6FF041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7A2AD5E1">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t>废气</w:t>
            </w:r>
          </w:p>
        </w:tc>
        <w:tc>
          <w:tcPr>
            <w:tcW w:w="1717" w:type="dxa"/>
            <w:noWrap w:val="0"/>
            <w:vAlign w:val="center"/>
          </w:tcPr>
          <w:p w14:paraId="506D084B">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非甲烷总烃</w:t>
            </w: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、TVOC</w:t>
            </w:r>
          </w:p>
        </w:tc>
        <w:tc>
          <w:tcPr>
            <w:tcW w:w="1401" w:type="dxa"/>
            <w:noWrap w:val="0"/>
            <w:vAlign w:val="center"/>
          </w:tcPr>
          <w:p w14:paraId="1AAABF96">
            <w:pPr>
              <w:pStyle w:val="65"/>
              <w:shd w:val="clear"/>
              <w:spacing w:beforeLines="0" w:afterLines="0" w:line="240" w:lineRule="auto"/>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0BCC558C">
            <w:pPr>
              <w:pStyle w:val="65"/>
              <w:shd w:val="clear"/>
              <w:spacing w:beforeLines="0" w:afterLines="0" w:line="240" w:lineRule="auto"/>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320E1A26">
            <w:pPr>
              <w:pStyle w:val="65"/>
              <w:shd w:val="clear"/>
              <w:spacing w:beforeLines="0" w:afterLines="0" w:line="240" w:lineRule="auto"/>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0A2AE59F">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0.1556</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651" w:type="dxa"/>
            <w:noWrap w:val="0"/>
            <w:vAlign w:val="center"/>
          </w:tcPr>
          <w:p w14:paraId="3BB940CA">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20048CED">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0.1556</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527" w:type="dxa"/>
            <w:noWrap w:val="0"/>
            <w:vAlign w:val="center"/>
          </w:tcPr>
          <w:p w14:paraId="4A63FD87">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+0.1556</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r>
      <w:tr w14:paraId="1744B3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588" w:type="dxa"/>
            <w:vMerge w:val="continue"/>
            <w:noWrap w:val="0"/>
            <w:vAlign w:val="center"/>
          </w:tcPr>
          <w:p w14:paraId="5D9F298D">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03DEDB33">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SO</w:t>
            </w:r>
            <w:r>
              <w:rPr>
                <w:rFonts w:hint="eastAsia" w:ascii="Times New Roman" w:cs="Times New Roman"/>
                <w:snapToGrid w:val="0"/>
                <w:color w:val="000000" w:themeColor="text1"/>
                <w:kern w:val="21"/>
                <w:szCs w:val="21"/>
                <w:highlight w:val="none"/>
                <w:vertAlign w:val="subscript"/>
                <w:lang w:val="en-US" w:eastAsia="zh-CN"/>
                <w14:textFill>
                  <w14:solidFill>
                    <w14:schemeClr w14:val="tx1"/>
                  </w14:solidFill>
                </w14:textFill>
              </w:rPr>
              <w:t>2</w:t>
            </w:r>
          </w:p>
        </w:tc>
        <w:tc>
          <w:tcPr>
            <w:tcW w:w="1401" w:type="dxa"/>
            <w:noWrap w:val="0"/>
            <w:vAlign w:val="center"/>
          </w:tcPr>
          <w:p w14:paraId="669DE4F0">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3ECABC74">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7F85481C">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shd w:val="clear" w:color="auto" w:fill="auto"/>
            <w:noWrap w:val="0"/>
            <w:vAlign w:val="center"/>
          </w:tcPr>
          <w:p w14:paraId="55DE5399">
            <w:pPr>
              <w:shd w:val="clear"/>
              <w:adjustRightInd w:val="0"/>
              <w:snapToGrid w:val="0"/>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8.3</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651" w:type="dxa"/>
            <w:noWrap w:val="0"/>
            <w:vAlign w:val="center"/>
          </w:tcPr>
          <w:p w14:paraId="4047E3D1">
            <w:pPr>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47D0D6AD">
            <w:pPr>
              <w:shd w:val="clear"/>
              <w:adjustRightInd w:val="0"/>
              <w:snapToGrid w:val="0"/>
              <w:spacing w:line="240" w:lineRule="auto"/>
              <w:jc w:val="cente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8.3</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527" w:type="dxa"/>
            <w:noWrap w:val="0"/>
            <w:vAlign w:val="center"/>
          </w:tcPr>
          <w:p w14:paraId="39DC562D">
            <w:pPr>
              <w:shd w:val="clear"/>
              <w:adjustRightInd w:val="0"/>
              <w:snapToGrid w:val="0"/>
              <w:spacing w:line="240" w:lineRule="auto"/>
              <w:jc w:val="cente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+8.3</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w:t>
            </w: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eastAsia"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t/a</w:t>
            </w:r>
          </w:p>
        </w:tc>
      </w:tr>
      <w:tr w14:paraId="43D270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88" w:type="dxa"/>
            <w:vMerge w:val="continue"/>
            <w:noWrap w:val="0"/>
            <w:vAlign w:val="center"/>
          </w:tcPr>
          <w:p w14:paraId="2DFD0E85">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41C84F56">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NO</w:t>
            </w:r>
            <w:r>
              <w:rPr>
                <w:rFonts w:hint="eastAsia" w:ascii="Times New Roman" w:cs="Times New Roman"/>
                <w:snapToGrid w:val="0"/>
                <w:color w:val="000000" w:themeColor="text1"/>
                <w:kern w:val="21"/>
                <w:szCs w:val="21"/>
                <w:highlight w:val="none"/>
                <w:vertAlign w:val="subscript"/>
                <w:lang w:val="en-US" w:eastAsia="zh-CN"/>
                <w14:textFill>
                  <w14:solidFill>
                    <w14:schemeClr w14:val="tx1"/>
                  </w14:solidFill>
                </w14:textFill>
              </w:rPr>
              <w:t>X</w:t>
            </w:r>
          </w:p>
        </w:tc>
        <w:tc>
          <w:tcPr>
            <w:tcW w:w="1401" w:type="dxa"/>
            <w:noWrap w:val="0"/>
            <w:vAlign w:val="center"/>
          </w:tcPr>
          <w:p w14:paraId="51FE3D53">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399C86B4">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24ADCF0D">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4570758C">
            <w:pPr>
              <w:pStyle w:val="65"/>
              <w:shd w:val="clear"/>
              <w:spacing w:beforeLines="0" w:afterLines="0" w:line="240" w:lineRule="auto"/>
              <w:rPr>
                <w:rFonts w:hint="default"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0.072t/a</w:t>
            </w:r>
          </w:p>
        </w:tc>
        <w:tc>
          <w:tcPr>
            <w:tcW w:w="1651" w:type="dxa"/>
            <w:noWrap w:val="0"/>
            <w:vAlign w:val="center"/>
          </w:tcPr>
          <w:p w14:paraId="3CBABA72">
            <w:pPr>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5E1B4831">
            <w:pPr>
              <w:pStyle w:val="65"/>
              <w:shd w:val="clear"/>
              <w:spacing w:beforeLines="0" w:afterLines="0" w:line="240" w:lineRule="auto"/>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0.072t/a</w:t>
            </w:r>
          </w:p>
        </w:tc>
        <w:tc>
          <w:tcPr>
            <w:tcW w:w="1527" w:type="dxa"/>
            <w:noWrap w:val="0"/>
            <w:vAlign w:val="center"/>
          </w:tcPr>
          <w:p w14:paraId="610A901A">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+0.072t/a</w:t>
            </w:r>
          </w:p>
        </w:tc>
      </w:tr>
      <w:tr w14:paraId="7BA899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EBAF797">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44CA1C03">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颗粒物</w:t>
            </w:r>
          </w:p>
        </w:tc>
        <w:tc>
          <w:tcPr>
            <w:tcW w:w="1401" w:type="dxa"/>
            <w:noWrap w:val="0"/>
            <w:vAlign w:val="center"/>
          </w:tcPr>
          <w:p w14:paraId="3C8275A1">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606257B7">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79C9686C">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3C45B179">
            <w:pPr>
              <w:pStyle w:val="65"/>
              <w:shd w:val="clear"/>
              <w:spacing w:beforeLines="0" w:afterLines="0" w:line="240" w:lineRule="auto"/>
              <w:rPr>
                <w:rFonts w:hint="default"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0.6908t/a</w:t>
            </w:r>
          </w:p>
        </w:tc>
        <w:tc>
          <w:tcPr>
            <w:tcW w:w="1651" w:type="dxa"/>
            <w:noWrap w:val="0"/>
            <w:vAlign w:val="center"/>
          </w:tcPr>
          <w:p w14:paraId="5C004012">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447EEBDD">
            <w:pPr>
              <w:pStyle w:val="65"/>
              <w:shd w:val="clear"/>
              <w:spacing w:beforeLines="0" w:afterLines="0" w:line="240" w:lineRule="auto"/>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0.6908t/a</w:t>
            </w:r>
          </w:p>
        </w:tc>
        <w:tc>
          <w:tcPr>
            <w:tcW w:w="1527" w:type="dxa"/>
            <w:noWrap w:val="0"/>
            <w:vAlign w:val="center"/>
          </w:tcPr>
          <w:p w14:paraId="32E54ACC">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+0.6908t/a</w:t>
            </w:r>
          </w:p>
        </w:tc>
      </w:tr>
      <w:tr w14:paraId="1C0986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29551269">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t>废水</w:t>
            </w:r>
          </w:p>
        </w:tc>
        <w:tc>
          <w:tcPr>
            <w:tcW w:w="1717" w:type="dxa"/>
            <w:noWrap w:val="0"/>
            <w:vAlign w:val="center"/>
          </w:tcPr>
          <w:p w14:paraId="33A361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CODcr</w:t>
            </w:r>
          </w:p>
        </w:tc>
        <w:tc>
          <w:tcPr>
            <w:tcW w:w="1401" w:type="dxa"/>
            <w:noWrap w:val="0"/>
            <w:vAlign w:val="center"/>
          </w:tcPr>
          <w:p w14:paraId="5BD20686">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7478A820">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7FDF7D98">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7FF531A1">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651" w:type="dxa"/>
            <w:noWrap w:val="0"/>
            <w:vAlign w:val="center"/>
          </w:tcPr>
          <w:p w14:paraId="4B249F8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63FB1A6F">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527" w:type="dxa"/>
            <w:noWrap w:val="0"/>
            <w:vAlign w:val="center"/>
          </w:tcPr>
          <w:p w14:paraId="2FBE3A7A">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r>
      <w:tr w14:paraId="62687E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7EE2F49B">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5AADDB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BOD</w:t>
            </w:r>
            <w:r>
              <w:rPr>
                <w:rFonts w:hint="default" w:ascii="Times New Roman" w:hAnsi="Times New Roman" w:cs="Times New Roman"/>
                <w:color w:val="000000" w:themeColor="text1"/>
                <w:kern w:val="0"/>
                <w:szCs w:val="21"/>
                <w:highlight w:val="none"/>
                <w:vertAlign w:val="subscript"/>
                <w:lang w:bidi="ar"/>
                <w14:textFill>
                  <w14:solidFill>
                    <w14:schemeClr w14:val="tx1"/>
                  </w14:solidFill>
                </w14:textFill>
              </w:rPr>
              <w:t>5</w:t>
            </w:r>
          </w:p>
        </w:tc>
        <w:tc>
          <w:tcPr>
            <w:tcW w:w="1401" w:type="dxa"/>
            <w:noWrap w:val="0"/>
            <w:vAlign w:val="center"/>
          </w:tcPr>
          <w:p w14:paraId="3F376332">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3CDAC478">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321DC984">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2CA6BBC0">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651" w:type="dxa"/>
            <w:noWrap w:val="0"/>
            <w:vAlign w:val="center"/>
          </w:tcPr>
          <w:p w14:paraId="2780CCD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51BEB93B">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527" w:type="dxa"/>
            <w:noWrap w:val="0"/>
            <w:vAlign w:val="center"/>
          </w:tcPr>
          <w:p w14:paraId="739ECFEF">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r>
      <w:tr w14:paraId="168939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198A133D">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46935B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SS</w:t>
            </w:r>
          </w:p>
        </w:tc>
        <w:tc>
          <w:tcPr>
            <w:tcW w:w="1401" w:type="dxa"/>
            <w:noWrap w:val="0"/>
            <w:vAlign w:val="center"/>
          </w:tcPr>
          <w:p w14:paraId="6C8282F6">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488153A3">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2491BDD4">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4D610941">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651" w:type="dxa"/>
            <w:noWrap w:val="0"/>
            <w:vAlign w:val="center"/>
          </w:tcPr>
          <w:p w14:paraId="2868F6B5">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05F76B12">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527" w:type="dxa"/>
            <w:noWrap w:val="0"/>
            <w:vAlign w:val="center"/>
          </w:tcPr>
          <w:p w14:paraId="5E41D6CD">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r>
      <w:tr w14:paraId="3EA807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194D2CB4">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267713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lang w:bidi="ar"/>
                <w14:textFill>
                  <w14:solidFill>
                    <w14:schemeClr w14:val="tx1"/>
                  </w14:solidFill>
                </w14:textFill>
              </w:rPr>
              <w:t>NH</w:t>
            </w:r>
            <w:r>
              <w:rPr>
                <w:rFonts w:hint="default" w:ascii="Times New Roman" w:hAnsi="Times New Roman" w:cs="Times New Roman"/>
                <w:color w:val="000000" w:themeColor="text1"/>
                <w:kern w:val="0"/>
                <w:szCs w:val="21"/>
                <w:highlight w:val="none"/>
                <w:vertAlign w:val="subscript"/>
                <w:lang w:bidi="ar"/>
                <w14:textFill>
                  <w14:solidFill>
                    <w14:schemeClr w14:val="tx1"/>
                  </w14:solidFill>
                </w14:textFill>
              </w:rPr>
              <w:t>3</w:t>
            </w:r>
            <w:r>
              <w:rPr>
                <w:rFonts w:hint="default" w:ascii="Times New Roman" w:hAnsi="Times New Roman" w:cs="Times New Roman"/>
                <w:color w:val="000000" w:themeColor="text1"/>
                <w:kern w:val="0"/>
                <w:szCs w:val="21"/>
                <w:highlight w:val="none"/>
                <w:lang w:bidi="ar"/>
                <w14:textFill>
                  <w14:solidFill>
                    <w14:schemeClr w14:val="tx1"/>
                  </w14:solidFill>
                </w14:textFill>
              </w:rPr>
              <w:t>-N</w:t>
            </w:r>
          </w:p>
        </w:tc>
        <w:tc>
          <w:tcPr>
            <w:tcW w:w="1401" w:type="dxa"/>
            <w:noWrap w:val="0"/>
            <w:vAlign w:val="center"/>
          </w:tcPr>
          <w:p w14:paraId="1E6310EF">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4ED74F3E">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0B78E46A">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36027FE1">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0.0054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651" w:type="dxa"/>
            <w:noWrap w:val="0"/>
            <w:vAlign w:val="center"/>
          </w:tcPr>
          <w:p w14:paraId="55D62D4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224D9D77">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0.0054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527" w:type="dxa"/>
            <w:noWrap w:val="0"/>
            <w:vAlign w:val="center"/>
          </w:tcPr>
          <w:p w14:paraId="295DC2F8">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0.0054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r>
      <w:tr w14:paraId="2A3C25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7CC59B8">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337A416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Tp</w:t>
            </w:r>
          </w:p>
        </w:tc>
        <w:tc>
          <w:tcPr>
            <w:tcW w:w="1401" w:type="dxa"/>
            <w:noWrap w:val="0"/>
            <w:vAlign w:val="center"/>
          </w:tcPr>
          <w:p w14:paraId="2AB177DF">
            <w:pPr>
              <w:keepNext w:val="0"/>
              <w:keepLines w:val="0"/>
              <w:widowControl/>
              <w:suppressLineNumbers w:val="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1276" w:type="dxa"/>
            <w:noWrap w:val="0"/>
            <w:vAlign w:val="center"/>
          </w:tcPr>
          <w:p w14:paraId="784CF6AF">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p>
        </w:tc>
        <w:tc>
          <w:tcPr>
            <w:tcW w:w="1701" w:type="dxa"/>
            <w:noWrap w:val="0"/>
            <w:vAlign w:val="center"/>
          </w:tcPr>
          <w:p w14:paraId="792D4DD3">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p>
        </w:tc>
        <w:tc>
          <w:tcPr>
            <w:tcW w:w="1559" w:type="dxa"/>
            <w:noWrap w:val="0"/>
            <w:vAlign w:val="center"/>
          </w:tcPr>
          <w:p w14:paraId="29A6FE3A">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0.00054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651" w:type="dxa"/>
            <w:noWrap w:val="0"/>
            <w:vAlign w:val="center"/>
          </w:tcPr>
          <w:p w14:paraId="3303C3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bidi="ar"/>
                <w14:textFill>
                  <w14:solidFill>
                    <w14:schemeClr w14:val="tx1"/>
                  </w14:solidFill>
                </w14:textFill>
              </w:rPr>
              <w:t>/</w:t>
            </w:r>
          </w:p>
        </w:tc>
        <w:tc>
          <w:tcPr>
            <w:tcW w:w="1682" w:type="dxa"/>
            <w:noWrap w:val="0"/>
            <w:vAlign w:val="center"/>
          </w:tcPr>
          <w:p w14:paraId="2BB627B7">
            <w:pPr>
              <w:keepNext w:val="0"/>
              <w:keepLines w:val="0"/>
              <w:widowControl/>
              <w:suppressLineNumbers w:val="0"/>
              <w:jc w:val="center"/>
              <w:textAlignment w:val="center"/>
              <w:rPr>
                <w:rFonts w:hint="eastAsia" w:ascii="Times New Roman" w:hAnsi="Times New Roman" w:eastAsia="宋体" w:cs="Times New Roman"/>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0.00054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527" w:type="dxa"/>
            <w:noWrap w:val="0"/>
            <w:vAlign w:val="center"/>
          </w:tcPr>
          <w:p w14:paraId="565B9018">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0.00054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r>
      <w:tr w14:paraId="3BE841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60C9ADAB">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t>一般工业</w:t>
            </w:r>
          </w:p>
          <w:p w14:paraId="421A82D9">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t>固体废物</w:t>
            </w:r>
          </w:p>
        </w:tc>
        <w:tc>
          <w:tcPr>
            <w:tcW w:w="1717" w:type="dxa"/>
            <w:noWrap w:val="0"/>
            <w:vAlign w:val="center"/>
          </w:tcPr>
          <w:p w14:paraId="0858276D">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金属碎屑</w:t>
            </w:r>
          </w:p>
        </w:tc>
        <w:tc>
          <w:tcPr>
            <w:tcW w:w="1401" w:type="dxa"/>
            <w:noWrap w:val="0"/>
            <w:vAlign w:val="center"/>
          </w:tcPr>
          <w:p w14:paraId="7D1982ED">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2BD3C27A">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4A4A9B09">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5BA8462F">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0.9247</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651" w:type="dxa"/>
            <w:noWrap w:val="0"/>
            <w:vAlign w:val="center"/>
          </w:tcPr>
          <w:p w14:paraId="4537FE88">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6987806C">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0.9247</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527" w:type="dxa"/>
            <w:noWrap w:val="0"/>
            <w:vAlign w:val="center"/>
          </w:tcPr>
          <w:p w14:paraId="795E573C">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+0.9247</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r>
      <w:tr w14:paraId="34B5EF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83E3908">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5D1C4507">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抛光废水沉渣</w:t>
            </w:r>
          </w:p>
        </w:tc>
        <w:tc>
          <w:tcPr>
            <w:tcW w:w="1401" w:type="dxa"/>
            <w:noWrap w:val="0"/>
            <w:vAlign w:val="center"/>
          </w:tcPr>
          <w:p w14:paraId="0179727F">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44B7A049">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2F584FCC">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76DAB2DC">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0.</w:t>
            </w: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3594</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651" w:type="dxa"/>
            <w:noWrap w:val="0"/>
            <w:vAlign w:val="center"/>
          </w:tcPr>
          <w:p w14:paraId="0DA940D4">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268DD0FC">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0.</w:t>
            </w: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3594</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527" w:type="dxa"/>
            <w:noWrap w:val="0"/>
            <w:vAlign w:val="center"/>
          </w:tcPr>
          <w:p w14:paraId="3A1E7FAF">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0.</w:t>
            </w: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3594</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r>
      <w:tr w14:paraId="1F79C0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656FBCAF">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796CF0EF">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废加工耗材</w:t>
            </w:r>
          </w:p>
        </w:tc>
        <w:tc>
          <w:tcPr>
            <w:tcW w:w="1401" w:type="dxa"/>
            <w:noWrap w:val="0"/>
            <w:vAlign w:val="center"/>
          </w:tcPr>
          <w:p w14:paraId="6F713C29">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19D509DE">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63E23EFF">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62EBE683">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0.395t/a</w:t>
            </w:r>
          </w:p>
        </w:tc>
        <w:tc>
          <w:tcPr>
            <w:tcW w:w="1651" w:type="dxa"/>
            <w:noWrap w:val="0"/>
            <w:vAlign w:val="center"/>
          </w:tcPr>
          <w:p w14:paraId="5F18773C">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6698201E">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0.395t/a</w:t>
            </w:r>
          </w:p>
        </w:tc>
        <w:tc>
          <w:tcPr>
            <w:tcW w:w="1527" w:type="dxa"/>
            <w:noWrap w:val="0"/>
            <w:vAlign w:val="center"/>
          </w:tcPr>
          <w:p w14:paraId="63BE285C">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+0.395t/a</w:t>
            </w:r>
          </w:p>
        </w:tc>
      </w:tr>
      <w:tr w14:paraId="3B3D27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BD01330">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5603D4C8">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研磨废水沉渣</w:t>
            </w:r>
          </w:p>
        </w:tc>
        <w:tc>
          <w:tcPr>
            <w:tcW w:w="1401" w:type="dxa"/>
            <w:noWrap w:val="0"/>
            <w:vAlign w:val="center"/>
          </w:tcPr>
          <w:p w14:paraId="11F5F462">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2F355CE4">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571831AA">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3C1B238A">
            <w:pPr>
              <w:pStyle w:val="65"/>
              <w:shd w:val="clear"/>
              <w:spacing w:beforeLines="0" w:afterLines="0" w:line="240" w:lineRule="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0.241t/a</w:t>
            </w:r>
          </w:p>
        </w:tc>
        <w:tc>
          <w:tcPr>
            <w:tcW w:w="1651" w:type="dxa"/>
            <w:noWrap w:val="0"/>
            <w:vAlign w:val="center"/>
          </w:tcPr>
          <w:p w14:paraId="58360B98">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p>
        </w:tc>
        <w:tc>
          <w:tcPr>
            <w:tcW w:w="1682" w:type="dxa"/>
            <w:noWrap w:val="0"/>
            <w:vAlign w:val="center"/>
          </w:tcPr>
          <w:p w14:paraId="64839904">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0.241t/a</w:t>
            </w:r>
          </w:p>
        </w:tc>
        <w:tc>
          <w:tcPr>
            <w:tcW w:w="1527" w:type="dxa"/>
            <w:noWrap w:val="0"/>
            <w:vAlign w:val="center"/>
          </w:tcPr>
          <w:p w14:paraId="0E9A15E4">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+0.241t/a</w:t>
            </w:r>
          </w:p>
        </w:tc>
      </w:tr>
      <w:tr w14:paraId="135D3C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AFD5178">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0719DABF">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研磨废气沉降粉尘</w:t>
            </w:r>
          </w:p>
        </w:tc>
        <w:tc>
          <w:tcPr>
            <w:tcW w:w="1401" w:type="dxa"/>
            <w:noWrap w:val="0"/>
            <w:vAlign w:val="center"/>
          </w:tcPr>
          <w:p w14:paraId="33FA9013">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7700FC4A">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764B4CF6">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23D789C1">
            <w:pPr>
              <w:pStyle w:val="65"/>
              <w:shd w:val="clear"/>
              <w:spacing w:beforeLines="0" w:afterLines="0" w:line="240" w:lineRule="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0.3234t/a</w:t>
            </w:r>
          </w:p>
        </w:tc>
        <w:tc>
          <w:tcPr>
            <w:tcW w:w="1651" w:type="dxa"/>
            <w:noWrap w:val="0"/>
            <w:vAlign w:val="center"/>
          </w:tcPr>
          <w:p w14:paraId="48128886">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p>
        </w:tc>
        <w:tc>
          <w:tcPr>
            <w:tcW w:w="1682" w:type="dxa"/>
            <w:noWrap w:val="0"/>
            <w:vAlign w:val="center"/>
          </w:tcPr>
          <w:p w14:paraId="52319ACB">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0.3234t/a</w:t>
            </w:r>
          </w:p>
        </w:tc>
        <w:tc>
          <w:tcPr>
            <w:tcW w:w="1527" w:type="dxa"/>
            <w:noWrap w:val="0"/>
            <w:vAlign w:val="center"/>
          </w:tcPr>
          <w:p w14:paraId="219DDA27">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+0.3234t/a</w:t>
            </w:r>
          </w:p>
        </w:tc>
      </w:tr>
      <w:tr w14:paraId="6751F3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013D95EE">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5BE08DB4">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一般废弃包装物</w:t>
            </w:r>
          </w:p>
        </w:tc>
        <w:tc>
          <w:tcPr>
            <w:tcW w:w="1401" w:type="dxa"/>
            <w:noWrap w:val="0"/>
            <w:vAlign w:val="center"/>
          </w:tcPr>
          <w:p w14:paraId="20ABA495">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256E7E8A">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25665417">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6B943BF7">
            <w:pPr>
              <w:pStyle w:val="65"/>
              <w:shd w:val="clear"/>
              <w:spacing w:beforeLines="0" w:afterLines="0" w:line="240" w:lineRule="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0.218t/a</w:t>
            </w:r>
          </w:p>
        </w:tc>
        <w:tc>
          <w:tcPr>
            <w:tcW w:w="1651" w:type="dxa"/>
            <w:noWrap w:val="0"/>
            <w:vAlign w:val="center"/>
          </w:tcPr>
          <w:p w14:paraId="083EA2FF">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p>
        </w:tc>
        <w:tc>
          <w:tcPr>
            <w:tcW w:w="1682" w:type="dxa"/>
            <w:noWrap w:val="0"/>
            <w:vAlign w:val="center"/>
          </w:tcPr>
          <w:p w14:paraId="2F5B50E2">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0.218t/a</w:t>
            </w:r>
          </w:p>
        </w:tc>
        <w:tc>
          <w:tcPr>
            <w:tcW w:w="1527" w:type="dxa"/>
            <w:noWrap w:val="0"/>
            <w:vAlign w:val="center"/>
          </w:tcPr>
          <w:p w14:paraId="2D6CF102">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+0.218t/a</w:t>
            </w:r>
          </w:p>
        </w:tc>
      </w:tr>
      <w:tr w14:paraId="7E8444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08AE615B">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27259A4D">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废气瓶</w:t>
            </w:r>
          </w:p>
        </w:tc>
        <w:tc>
          <w:tcPr>
            <w:tcW w:w="1401" w:type="dxa"/>
            <w:noWrap w:val="0"/>
            <w:vAlign w:val="center"/>
          </w:tcPr>
          <w:p w14:paraId="78CC8359">
            <w:pPr>
              <w:pStyle w:val="65"/>
              <w:shd w:val="clear"/>
              <w:spacing w:beforeLines="0" w:afterLines="0" w:line="240" w:lineRule="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505D715B">
            <w:pPr>
              <w:pStyle w:val="65"/>
              <w:shd w:val="clear"/>
              <w:spacing w:beforeLines="0" w:afterLines="0" w:line="240" w:lineRule="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6ABED149">
            <w:pPr>
              <w:pStyle w:val="65"/>
              <w:shd w:val="clear"/>
              <w:spacing w:beforeLines="0" w:afterLines="0" w:line="240" w:lineRule="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0F28EE69">
            <w:pPr>
              <w:pStyle w:val="65"/>
              <w:shd w:val="clear"/>
              <w:spacing w:beforeLines="0" w:afterLines="0" w:line="240" w:lineRule="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26.404t/a</w:t>
            </w:r>
          </w:p>
        </w:tc>
        <w:tc>
          <w:tcPr>
            <w:tcW w:w="1651" w:type="dxa"/>
            <w:noWrap w:val="0"/>
            <w:vAlign w:val="center"/>
          </w:tcPr>
          <w:p w14:paraId="67A82B55">
            <w:pPr>
              <w:pStyle w:val="65"/>
              <w:shd w:val="clear"/>
              <w:spacing w:beforeLines="0" w:afterLines="0" w:line="240" w:lineRule="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38C1C4DD">
            <w:pPr>
              <w:shd w:val="clear"/>
              <w:spacing w:beforeLines="0" w:afterLines="0" w:line="240" w:lineRule="auto"/>
              <w:jc w:val="center"/>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26.404t/a</w:t>
            </w:r>
          </w:p>
        </w:tc>
        <w:tc>
          <w:tcPr>
            <w:tcW w:w="1527" w:type="dxa"/>
            <w:noWrap w:val="0"/>
            <w:vAlign w:val="center"/>
          </w:tcPr>
          <w:p w14:paraId="24C19846">
            <w:pPr>
              <w:shd w:val="clear"/>
              <w:spacing w:beforeLines="0" w:afterLines="0" w:line="240" w:lineRule="auto"/>
              <w:jc w:val="center"/>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+26.404t/a</w:t>
            </w:r>
          </w:p>
        </w:tc>
      </w:tr>
      <w:tr w14:paraId="63CAA6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572592D1">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t>危险废物</w:t>
            </w:r>
          </w:p>
        </w:tc>
        <w:tc>
          <w:tcPr>
            <w:tcW w:w="1717" w:type="dxa"/>
            <w:noWrap w:val="0"/>
            <w:vAlign w:val="center"/>
          </w:tcPr>
          <w:p w14:paraId="39E5E7BB">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w:t>
            </w:r>
            <w:r>
              <w:rPr>
                <w:rFonts w:hint="eastAsia" w:cs="Times New Roman"/>
                <w:color w:val="000000" w:themeColor="text1"/>
                <w:sz w:val="21"/>
                <w:szCs w:val="21"/>
                <w:highlight w:val="none"/>
                <w:lang w:val="en-US" w:eastAsia="zh-CN"/>
                <w14:textFill>
                  <w14:solidFill>
                    <w14:schemeClr w14:val="tx1"/>
                  </w14:solidFill>
                </w14:textFill>
              </w:rPr>
              <w:t>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油及其包装物</w:t>
            </w:r>
          </w:p>
        </w:tc>
        <w:tc>
          <w:tcPr>
            <w:tcW w:w="1401" w:type="dxa"/>
            <w:noWrap w:val="0"/>
            <w:vAlign w:val="center"/>
          </w:tcPr>
          <w:p w14:paraId="153E41A5">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31354D68">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23A54DCD">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7C1A84D5">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0.</w:t>
            </w: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11</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651" w:type="dxa"/>
            <w:noWrap w:val="0"/>
            <w:vAlign w:val="center"/>
          </w:tcPr>
          <w:p w14:paraId="65A1BE7F">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1251EC86">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0.</w:t>
            </w: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11</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527" w:type="dxa"/>
            <w:noWrap w:val="0"/>
            <w:vAlign w:val="center"/>
          </w:tcPr>
          <w:p w14:paraId="67F524B0">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0.</w:t>
            </w: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11</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r>
      <w:tr w14:paraId="58C67A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55FBE9AD">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5E436202">
            <w:pPr>
              <w:keepNext w:val="0"/>
              <w:keepLines w:val="0"/>
              <w:pageBreakBefore w:val="0"/>
              <w:shd w:val="clea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含油废抹布及废手套</w:t>
            </w:r>
          </w:p>
        </w:tc>
        <w:tc>
          <w:tcPr>
            <w:tcW w:w="1401" w:type="dxa"/>
            <w:noWrap w:val="0"/>
            <w:vAlign w:val="center"/>
          </w:tcPr>
          <w:p w14:paraId="34D8B98D">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6529819D">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7A26CAF1">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630AEC8F">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0.</w:t>
            </w: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031</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651" w:type="dxa"/>
            <w:noWrap w:val="0"/>
            <w:vAlign w:val="center"/>
          </w:tcPr>
          <w:p w14:paraId="4963B6B2">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2D187BA4">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0.</w:t>
            </w: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031</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c>
          <w:tcPr>
            <w:tcW w:w="1527" w:type="dxa"/>
            <w:noWrap w:val="0"/>
            <w:vAlign w:val="center"/>
          </w:tcPr>
          <w:p w14:paraId="7A51A918">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14:textFill>
                  <w14:solidFill>
                    <w14:schemeClr w14:val="tx1"/>
                  </w14:solidFill>
                </w14:textFill>
              </w:rPr>
            </w:pPr>
            <w:r>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t>0.</w:t>
            </w: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031</w:t>
            </w: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t/a</w:t>
            </w:r>
          </w:p>
        </w:tc>
      </w:tr>
      <w:tr w14:paraId="76702B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1B797B2">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553E048C">
            <w:pPr>
              <w:shd w:val="clear"/>
              <w:spacing w:line="240" w:lineRule="auto"/>
              <w:ind w:firstLine="32" w:firstLineChars="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废切削液</w:t>
            </w:r>
          </w:p>
        </w:tc>
        <w:tc>
          <w:tcPr>
            <w:tcW w:w="1401" w:type="dxa"/>
            <w:noWrap w:val="0"/>
            <w:vAlign w:val="center"/>
          </w:tcPr>
          <w:p w14:paraId="6D47B181">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43AC5158">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21B51446">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17542E23">
            <w:pPr>
              <w:pStyle w:val="65"/>
              <w:shd w:val="clear"/>
              <w:spacing w:beforeLines="0" w:afterLines="0" w:line="240" w:lineRule="auto"/>
              <w:rPr>
                <w:rFonts w:hint="default"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1.35t/a</w:t>
            </w:r>
          </w:p>
        </w:tc>
        <w:tc>
          <w:tcPr>
            <w:tcW w:w="1651" w:type="dxa"/>
            <w:noWrap w:val="0"/>
            <w:vAlign w:val="center"/>
          </w:tcPr>
          <w:p w14:paraId="42C2FC26">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36665FD9">
            <w:pPr>
              <w:pStyle w:val="65"/>
              <w:shd w:val="clear"/>
              <w:spacing w:beforeLines="0" w:afterLines="0" w:line="240" w:lineRule="auto"/>
              <w:rPr>
                <w:rFonts w:hint="default"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1.35t/a</w:t>
            </w:r>
          </w:p>
        </w:tc>
        <w:tc>
          <w:tcPr>
            <w:tcW w:w="1527" w:type="dxa"/>
            <w:noWrap w:val="0"/>
            <w:vAlign w:val="center"/>
          </w:tcPr>
          <w:p w14:paraId="677B025A">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+1.35t/a</w:t>
            </w:r>
          </w:p>
        </w:tc>
      </w:tr>
      <w:tr w14:paraId="053DDB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C597E6A">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63AE3660">
            <w:pPr>
              <w:shd w:val="clear"/>
              <w:spacing w:line="240" w:lineRule="auto"/>
              <w:ind w:firstLine="32" w:firstLineChars="0"/>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废包装物</w:t>
            </w:r>
          </w:p>
        </w:tc>
        <w:tc>
          <w:tcPr>
            <w:tcW w:w="1401" w:type="dxa"/>
            <w:noWrap w:val="0"/>
            <w:vAlign w:val="center"/>
          </w:tcPr>
          <w:p w14:paraId="3A9BDBF6">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4833DBA0">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25201EEA">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0DDFAEA2">
            <w:pPr>
              <w:pStyle w:val="65"/>
              <w:shd w:val="clear"/>
              <w:spacing w:beforeLines="0" w:afterLines="0" w:line="240" w:lineRule="auto"/>
              <w:rPr>
                <w:rFonts w:hint="default"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0.081t/a</w:t>
            </w:r>
          </w:p>
        </w:tc>
        <w:tc>
          <w:tcPr>
            <w:tcW w:w="1651" w:type="dxa"/>
            <w:noWrap w:val="0"/>
            <w:vAlign w:val="center"/>
          </w:tcPr>
          <w:p w14:paraId="71E0FD0D">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5B8B53A3">
            <w:pPr>
              <w:pStyle w:val="65"/>
              <w:shd w:val="clear"/>
              <w:spacing w:beforeLines="0" w:afterLines="0" w:line="240" w:lineRule="auto"/>
              <w:rPr>
                <w:rFonts w:hint="eastAsia"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0.081t/a</w:t>
            </w:r>
          </w:p>
        </w:tc>
        <w:tc>
          <w:tcPr>
            <w:tcW w:w="1527" w:type="dxa"/>
            <w:noWrap w:val="0"/>
            <w:vAlign w:val="center"/>
          </w:tcPr>
          <w:p w14:paraId="63A803A7">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+0.081t/a</w:t>
            </w:r>
          </w:p>
        </w:tc>
      </w:tr>
      <w:tr w14:paraId="257F0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16F90A58">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016C9303">
            <w:pPr>
              <w:shd w:val="clear"/>
              <w:spacing w:line="240" w:lineRule="auto"/>
              <w:ind w:firstLine="32" w:firstLineChars="0"/>
              <w:jc w:val="center"/>
              <w:rPr>
                <w:rFonts w:hint="eastAsia" w:cs="Times New Roman"/>
                <w:color w:val="000000" w:themeColor="text1"/>
                <w:szCs w:val="21"/>
                <w:highlight w:val="none"/>
                <w:lang w:val="en-US" w:eastAsia="zh-CN"/>
                <w14:textFill>
                  <w14:solidFill>
                    <w14:schemeClr w14:val="tx1"/>
                  </w14:solidFill>
                </w14:textFill>
              </w:rPr>
            </w:pPr>
            <w:r>
              <w:rPr>
                <w:rFonts w:hint="default" w:cs="Times New Roman"/>
                <w:color w:val="000000" w:themeColor="text1"/>
                <w:sz w:val="21"/>
                <w:szCs w:val="21"/>
                <w:highlight w:val="none"/>
                <w:lang w:val="en-US" w:eastAsia="zh-CN"/>
                <w14:textFill>
                  <w14:solidFill>
                    <w14:schemeClr w14:val="tx1"/>
                  </w14:solidFill>
                </w14:textFill>
              </w:rPr>
              <w:t>废火花油及其包装物</w:t>
            </w:r>
          </w:p>
        </w:tc>
        <w:tc>
          <w:tcPr>
            <w:tcW w:w="1401" w:type="dxa"/>
            <w:noWrap w:val="0"/>
            <w:vAlign w:val="center"/>
          </w:tcPr>
          <w:p w14:paraId="32408C95">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07AAD35D">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359F63C0">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5256690E">
            <w:pPr>
              <w:pStyle w:val="65"/>
              <w:shd w:val="clear"/>
              <w:spacing w:beforeLines="0" w:afterLines="0" w:line="240" w:lineRule="auto"/>
              <w:rPr>
                <w:rFonts w:hint="default"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0.059t/a</w:t>
            </w:r>
          </w:p>
        </w:tc>
        <w:tc>
          <w:tcPr>
            <w:tcW w:w="1651" w:type="dxa"/>
            <w:noWrap w:val="0"/>
            <w:vAlign w:val="center"/>
          </w:tcPr>
          <w:p w14:paraId="1745FD66">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443C1C93">
            <w:pPr>
              <w:pStyle w:val="65"/>
              <w:shd w:val="clear"/>
              <w:spacing w:beforeLines="0" w:afterLines="0" w:line="240" w:lineRule="auto"/>
              <w:rPr>
                <w:rFonts w:hint="eastAsia"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0.059t/a</w:t>
            </w:r>
          </w:p>
        </w:tc>
        <w:tc>
          <w:tcPr>
            <w:tcW w:w="1527" w:type="dxa"/>
            <w:noWrap w:val="0"/>
            <w:vAlign w:val="center"/>
          </w:tcPr>
          <w:p w14:paraId="1B556031">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+0.059t/a</w:t>
            </w:r>
          </w:p>
        </w:tc>
      </w:tr>
      <w:tr w14:paraId="36F457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664DFA82">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37D759CC">
            <w:pPr>
              <w:shd w:val="clear"/>
              <w:spacing w:line="240" w:lineRule="auto"/>
              <w:ind w:firstLine="32" w:firstLineChars="0"/>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锌、铝熔渣</w:t>
            </w:r>
          </w:p>
        </w:tc>
        <w:tc>
          <w:tcPr>
            <w:tcW w:w="1401" w:type="dxa"/>
            <w:noWrap w:val="0"/>
            <w:vAlign w:val="center"/>
          </w:tcPr>
          <w:p w14:paraId="126132F9">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30FB771C">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5885CE3A">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6840CDC9">
            <w:pPr>
              <w:pStyle w:val="65"/>
              <w:shd w:val="clear"/>
              <w:spacing w:beforeLines="0" w:afterLines="0" w:line="240" w:lineRule="auto"/>
              <w:rPr>
                <w:rFonts w:hint="default"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1.321t/a</w:t>
            </w:r>
          </w:p>
        </w:tc>
        <w:tc>
          <w:tcPr>
            <w:tcW w:w="1651" w:type="dxa"/>
            <w:noWrap w:val="0"/>
            <w:vAlign w:val="center"/>
          </w:tcPr>
          <w:p w14:paraId="761AA19C">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0F8EE24C">
            <w:pPr>
              <w:pStyle w:val="65"/>
              <w:shd w:val="clear"/>
              <w:spacing w:beforeLines="0" w:afterLines="0" w:line="240" w:lineRule="auto"/>
              <w:rPr>
                <w:rFonts w:hint="eastAsia"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1.321t/a</w:t>
            </w:r>
          </w:p>
        </w:tc>
        <w:tc>
          <w:tcPr>
            <w:tcW w:w="1527" w:type="dxa"/>
            <w:noWrap w:val="0"/>
            <w:vAlign w:val="center"/>
          </w:tcPr>
          <w:p w14:paraId="7F2BBF8E">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+1.321t/a</w:t>
            </w:r>
          </w:p>
        </w:tc>
      </w:tr>
      <w:tr w14:paraId="3858B1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C951F39">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52B34EA3">
            <w:pPr>
              <w:shd w:val="clear"/>
              <w:spacing w:line="240" w:lineRule="auto"/>
              <w:ind w:firstLine="32" w:firstLineChars="0"/>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喷淋沉渣</w:t>
            </w:r>
          </w:p>
        </w:tc>
        <w:tc>
          <w:tcPr>
            <w:tcW w:w="1401" w:type="dxa"/>
            <w:noWrap w:val="0"/>
            <w:vAlign w:val="center"/>
          </w:tcPr>
          <w:p w14:paraId="3F45FC92">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1A327079">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04C527BF">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52A68255">
            <w:pPr>
              <w:pStyle w:val="65"/>
              <w:shd w:val="clear"/>
              <w:spacing w:beforeLines="0" w:afterLines="0" w:line="240" w:lineRule="auto"/>
              <w:rPr>
                <w:rFonts w:hint="default"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0.0761t/a</w:t>
            </w:r>
          </w:p>
        </w:tc>
        <w:tc>
          <w:tcPr>
            <w:tcW w:w="1651" w:type="dxa"/>
            <w:noWrap w:val="0"/>
            <w:vAlign w:val="center"/>
          </w:tcPr>
          <w:p w14:paraId="57F78E35">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3E057F41">
            <w:pPr>
              <w:pStyle w:val="65"/>
              <w:shd w:val="clear"/>
              <w:spacing w:beforeLines="0" w:afterLines="0" w:line="240" w:lineRule="auto"/>
              <w:rPr>
                <w:rFonts w:hint="eastAsia"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0.0761t/a</w:t>
            </w:r>
          </w:p>
        </w:tc>
        <w:tc>
          <w:tcPr>
            <w:tcW w:w="1527" w:type="dxa"/>
            <w:noWrap w:val="0"/>
            <w:vAlign w:val="center"/>
          </w:tcPr>
          <w:p w14:paraId="06BB81FD">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+0.0761t/a</w:t>
            </w:r>
          </w:p>
        </w:tc>
      </w:tr>
      <w:tr w14:paraId="1C7AF9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1545BB02">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4AF765A2">
            <w:pPr>
              <w:shd w:val="clear"/>
              <w:spacing w:line="240" w:lineRule="auto"/>
              <w:ind w:firstLine="32" w:firstLineChars="0"/>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含切削液金属屑</w:t>
            </w:r>
          </w:p>
        </w:tc>
        <w:tc>
          <w:tcPr>
            <w:tcW w:w="1401" w:type="dxa"/>
            <w:noWrap w:val="0"/>
            <w:vAlign w:val="center"/>
          </w:tcPr>
          <w:p w14:paraId="38D4669F">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575E1170">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29D78347">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6C1990B4">
            <w:pPr>
              <w:pStyle w:val="65"/>
              <w:shd w:val="clear"/>
              <w:spacing w:beforeLines="0" w:afterLines="0" w:line="240" w:lineRule="auto"/>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0.3963t/a</w:t>
            </w:r>
          </w:p>
        </w:tc>
        <w:tc>
          <w:tcPr>
            <w:tcW w:w="1651" w:type="dxa"/>
            <w:noWrap w:val="0"/>
            <w:vAlign w:val="center"/>
          </w:tcPr>
          <w:p w14:paraId="0C9B75B3">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35F9593C">
            <w:pPr>
              <w:pStyle w:val="65"/>
              <w:shd w:val="clear"/>
              <w:spacing w:beforeLines="0" w:afterLines="0" w:line="240" w:lineRule="auto"/>
              <w:rPr>
                <w:rFonts w:hint="eastAsia"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0.3963t/a</w:t>
            </w:r>
          </w:p>
        </w:tc>
        <w:tc>
          <w:tcPr>
            <w:tcW w:w="1527" w:type="dxa"/>
            <w:noWrap w:val="0"/>
            <w:vAlign w:val="center"/>
          </w:tcPr>
          <w:p w14:paraId="1B3F1A78">
            <w:pPr>
              <w:pStyle w:val="65"/>
              <w:shd w:val="clear"/>
              <w:spacing w:beforeLines="0" w:afterLines="0" w:line="240" w:lineRule="auto"/>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+0.3963t/a</w:t>
            </w:r>
          </w:p>
        </w:tc>
      </w:tr>
      <w:tr w14:paraId="50B8B7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5A07B59E">
            <w:pPr>
              <w:pStyle w:val="65"/>
              <w:shd w:val="clear"/>
              <w:spacing w:beforeLines="0" w:afterLines="0" w:line="240" w:lineRule="auto"/>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p>
        </w:tc>
        <w:tc>
          <w:tcPr>
            <w:tcW w:w="1717" w:type="dxa"/>
            <w:noWrap w:val="0"/>
            <w:vAlign w:val="center"/>
          </w:tcPr>
          <w:p w14:paraId="678654C2">
            <w:pPr>
              <w:shd w:val="clear"/>
              <w:spacing w:line="240" w:lineRule="auto"/>
              <w:ind w:firstLine="32"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含油金属碎屑</w:t>
            </w:r>
          </w:p>
        </w:tc>
        <w:tc>
          <w:tcPr>
            <w:tcW w:w="1401" w:type="dxa"/>
            <w:noWrap w:val="0"/>
            <w:vAlign w:val="center"/>
          </w:tcPr>
          <w:p w14:paraId="12B57B2A">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276" w:type="dxa"/>
            <w:noWrap w:val="0"/>
            <w:vAlign w:val="center"/>
          </w:tcPr>
          <w:p w14:paraId="5F998230">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701" w:type="dxa"/>
            <w:noWrap w:val="0"/>
            <w:vAlign w:val="center"/>
          </w:tcPr>
          <w:p w14:paraId="029E1C4C">
            <w:pPr>
              <w:pStyle w:val="65"/>
              <w:shd w:val="clear"/>
              <w:spacing w:beforeLines="0" w:afterLines="0" w:line="240" w:lineRule="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59" w:type="dxa"/>
            <w:noWrap w:val="0"/>
            <w:vAlign w:val="center"/>
          </w:tcPr>
          <w:p w14:paraId="2015CC15">
            <w:pPr>
              <w:pStyle w:val="65"/>
              <w:shd w:val="clear"/>
              <w:spacing w:beforeLines="0" w:afterLines="0" w:line="240" w:lineRule="auto"/>
              <w:rPr>
                <w:rFonts w:hint="default"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0.05t/a</w:t>
            </w:r>
          </w:p>
        </w:tc>
        <w:tc>
          <w:tcPr>
            <w:tcW w:w="1651" w:type="dxa"/>
            <w:noWrap w:val="0"/>
            <w:vAlign w:val="center"/>
          </w:tcPr>
          <w:p w14:paraId="57110F48">
            <w:pPr>
              <w:pStyle w:val="65"/>
              <w:shd w:val="clear"/>
              <w:spacing w:beforeLines="0" w:afterLines="0" w:line="240" w:lineRule="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682" w:type="dxa"/>
            <w:noWrap w:val="0"/>
            <w:vAlign w:val="center"/>
          </w:tcPr>
          <w:p w14:paraId="02A0CE4F">
            <w:pPr>
              <w:pStyle w:val="65"/>
              <w:shd w:val="clear"/>
              <w:spacing w:beforeLines="0" w:afterLines="0" w:line="240" w:lineRule="auto"/>
              <w:rPr>
                <w:rFonts w:hint="default"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0.05t/a</w:t>
            </w:r>
          </w:p>
        </w:tc>
        <w:tc>
          <w:tcPr>
            <w:tcW w:w="1527" w:type="dxa"/>
            <w:noWrap w:val="0"/>
            <w:vAlign w:val="center"/>
          </w:tcPr>
          <w:p w14:paraId="71E34BB4">
            <w:pPr>
              <w:pStyle w:val="65"/>
              <w:shd w:val="clear"/>
              <w:spacing w:beforeLines="0" w:afterLines="0" w:line="240" w:lineRule="auto"/>
              <w:rPr>
                <w:rFonts w:hint="default" w:asci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cs="Times New Roman"/>
                <w:i w:val="0"/>
                <w:iCs w:val="0"/>
                <w:color w:val="000000" w:themeColor="text1"/>
                <w:sz w:val="21"/>
                <w:szCs w:val="21"/>
                <w:highlight w:val="none"/>
                <w:u w:val="none"/>
                <w:lang w:val="en-US" w:eastAsia="zh-CN"/>
                <w14:textFill>
                  <w14:solidFill>
                    <w14:schemeClr w14:val="tx1"/>
                  </w14:solidFill>
                </w14:textFill>
              </w:rPr>
              <w:t>+0.05t/a</w:t>
            </w:r>
          </w:p>
        </w:tc>
      </w:tr>
    </w:tbl>
    <w:p w14:paraId="264349DA">
      <w:pPr>
        <w:pStyle w:val="65"/>
        <w:shd w:val="clear"/>
        <w:spacing w:before="192" w:beforeLines="80" w:after="24"/>
        <w:jc w:val="left"/>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t>注：</w: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21"/>
          <w:highlight w:val="none"/>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21"/>
          <w:highlight w:val="none"/>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instrText xml:space="preserve"> = 3 \* GB3 \* MERGEFORMAT </w:instrTex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21"/>
          <w:highlight w:val="none"/>
          <w14:textFill>
            <w14:solidFill>
              <w14:schemeClr w14:val="tx1"/>
            </w14:solidFill>
          </w14:textFill>
        </w:rPr>
        <w:t>③</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instrText xml:space="preserve"> = 4 \* GB3 \* MERGEFORMAT </w:instrTex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21"/>
          <w:highlight w:val="none"/>
          <w14:textFill>
            <w14:solidFill>
              <w14:schemeClr w14:val="tx1"/>
            </w14:solidFill>
          </w14:textFill>
        </w:rPr>
        <w:t>④</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instrText xml:space="preserve"> = 5 \* GB3 \* MERGEFORMAT </w:instrTex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21"/>
          <w:highlight w:val="none"/>
          <w14:textFill>
            <w14:solidFill>
              <w14:schemeClr w14:val="tx1"/>
            </w14:solidFill>
          </w14:textFill>
        </w:rPr>
        <w:t>⑤</w: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instrText xml:space="preserve"> = 7 \* GB3 \* MERGEFORMAT </w:instrTex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21"/>
          <w:highlight w:val="none"/>
          <w14:textFill>
            <w14:solidFill>
              <w14:schemeClr w14:val="tx1"/>
            </w14:solidFill>
          </w14:textFill>
        </w:rPr>
        <w:t>⑦</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21"/>
          <w:highlight w:val="none"/>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Cs w:val="21"/>
          <w:highlight w:val="none"/>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Cs w:val="21"/>
          <w:highlight w:val="none"/>
          <w14:textFill>
            <w14:solidFill>
              <w14:schemeClr w14:val="tx1"/>
            </w14:solidFill>
          </w14:textFill>
        </w:rPr>
        <w:fldChar w:fldCharType="end"/>
      </w:r>
    </w:p>
    <w:p w14:paraId="68B09814">
      <w:pPr>
        <w:shd w:val="clear"/>
        <w:rPr>
          <w:rFonts w:hint="default" w:ascii="Times New Roman" w:hAnsi="Times New Roman" w:eastAsia="宋体" w:cs="Times New Roman"/>
          <w:color w:val="000000" w:themeColor="text1"/>
          <w:highlight w:val="none"/>
          <w14:textFill>
            <w14:solidFill>
              <w14:schemeClr w14:val="tx1"/>
            </w14:solidFill>
          </w14:textFill>
        </w:rPr>
        <w:sectPr>
          <w:footerReference r:id="rId8" w:type="default"/>
          <w:pgSz w:w="16838" w:h="11906" w:orient="landscape"/>
          <w:pgMar w:top="1134" w:right="1531" w:bottom="1134" w:left="1531" w:header="851" w:footer="851" w:gutter="0"/>
          <w:pgNumType w:fmt="decimal"/>
          <w:cols w:space="720" w:num="1"/>
          <w:docGrid w:linePitch="312" w:charSpace="0"/>
        </w:sectPr>
      </w:pPr>
    </w:p>
    <w:p w14:paraId="402B9D33">
      <w:pPr>
        <w:pStyle w:val="48"/>
        <w:shd w:val="clear"/>
        <w:tabs>
          <w:tab w:val="left" w:pos="3360"/>
        </w:tabs>
        <w:jc w:val="both"/>
        <w:rPr>
          <w:rFonts w:hint="default" w:ascii="Times New Roman" w:hAnsi="Times New Roman" w:eastAsia="宋体" w:cs="Times New Roman"/>
          <w:color w:val="000000" w:themeColor="text1"/>
          <w:highlight w:val="none"/>
          <w:lang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06368" behindDoc="0" locked="0" layoutInCell="1" allowOverlap="1">
                <wp:simplePos x="0" y="0"/>
                <wp:positionH relativeFrom="column">
                  <wp:posOffset>2882900</wp:posOffset>
                </wp:positionH>
                <wp:positionV relativeFrom="paragraph">
                  <wp:posOffset>671195</wp:posOffset>
                </wp:positionV>
                <wp:extent cx="845820" cy="334010"/>
                <wp:effectExtent l="0" t="0" r="0" b="0"/>
                <wp:wrapNone/>
                <wp:docPr id="21" name="文本框 21"/>
                <wp:cNvGraphicFramePr/>
                <a:graphic xmlns:a="http://schemas.openxmlformats.org/drawingml/2006/main">
                  <a:graphicData uri="http://schemas.microsoft.com/office/word/2010/wordprocessingShape">
                    <wps:wsp>
                      <wps:cNvSpPr txBox="1"/>
                      <wps:spPr>
                        <a:xfrm>
                          <a:off x="2528570" y="2447925"/>
                          <a:ext cx="845820" cy="3340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12AD51">
                            <w:pPr>
                              <w:rPr>
                                <w:rFonts w:hint="default" w:eastAsia="宋体"/>
                                <w:b/>
                                <w:bCs/>
                                <w:sz w:val="24"/>
                                <w:szCs w:val="24"/>
                                <w:lang w:val="en-US" w:eastAsia="zh-CN"/>
                              </w:rPr>
                            </w:pPr>
                            <w:r>
                              <w:rPr>
                                <w:rFonts w:hint="eastAsia"/>
                                <w:b/>
                                <w:bCs/>
                                <w:sz w:val="24"/>
                                <w:szCs w:val="24"/>
                                <w:lang w:val="en-US" w:eastAsia="zh-CN"/>
                              </w:rPr>
                              <w:t>耕地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7pt;margin-top:52.85pt;height:26.3pt;width:66.6pt;z-index:251706368;mso-width-relative:page;mso-height-relative:page;" filled="f" stroked="f" coordsize="21600,21600" o:gfxdata="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vlidWdsAAAALAQAADwAAAAAAAAAB&#10;ACAAAAAiAAAAZHJzL2Rvd25yZXYueG1sUEsBAhQAFAAAAAgAh07iQJG5kStGAgAAcwQAAA4AAAAA&#10;AAAAAQAgAAAAKgEAAGRycy9lMm9Eb2MueG1sUEsFBgAAAAAGAAYAWQEAAOIFAAAAAA==&#10;">
                <v:fill on="f" focussize="0,0"/>
                <v:stroke on="f" weight="0.5pt"/>
                <v:imagedata o:title=""/>
                <o:lock v:ext="edit" aspectratio="f"/>
                <v:textbox>
                  <w:txbxContent>
                    <w:p w14:paraId="5612AD51">
                      <w:pPr>
                        <w:rPr>
                          <w:rFonts w:hint="default" w:eastAsia="宋体"/>
                          <w:b/>
                          <w:bCs/>
                          <w:sz w:val="24"/>
                          <w:szCs w:val="24"/>
                          <w:lang w:val="en-US" w:eastAsia="zh-CN"/>
                        </w:rPr>
                      </w:pPr>
                      <w:r>
                        <w:rPr>
                          <w:rFonts w:hint="eastAsia"/>
                          <w:b/>
                          <w:bCs/>
                          <w:sz w:val="24"/>
                          <w:szCs w:val="24"/>
                          <w:lang w:val="en-US" w:eastAsia="zh-CN"/>
                        </w:rPr>
                        <w:t>耕地</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6608" behindDoc="0" locked="0" layoutInCell="1" allowOverlap="1">
                <wp:simplePos x="0" y="0"/>
                <wp:positionH relativeFrom="column">
                  <wp:posOffset>551815</wp:posOffset>
                </wp:positionH>
                <wp:positionV relativeFrom="paragraph">
                  <wp:posOffset>4324985</wp:posOffset>
                </wp:positionV>
                <wp:extent cx="824230" cy="313055"/>
                <wp:effectExtent l="0" t="0" r="0" b="0"/>
                <wp:wrapNone/>
                <wp:docPr id="75" name="文本框 75"/>
                <wp:cNvGraphicFramePr/>
                <a:graphic xmlns:a="http://schemas.openxmlformats.org/drawingml/2006/main">
                  <a:graphicData uri="http://schemas.microsoft.com/office/word/2010/wordprocessingShape">
                    <wps:wsp>
                      <wps:cNvSpPr txBox="1"/>
                      <wps:spPr>
                        <a:xfrm>
                          <a:off x="1369060" y="5172710"/>
                          <a:ext cx="824230" cy="3130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6E21A">
                            <w:pPr>
                              <w:rPr>
                                <w:rFonts w:hint="default" w:eastAsia="宋体"/>
                                <w:b/>
                                <w:bCs/>
                                <w:sz w:val="24"/>
                                <w:szCs w:val="24"/>
                                <w:lang w:val="en-US" w:eastAsia="zh-CN"/>
                              </w:rPr>
                            </w:pPr>
                            <w:r>
                              <w:rPr>
                                <w:rFonts w:hint="eastAsia"/>
                                <w:b/>
                                <w:bCs/>
                                <w:sz w:val="24"/>
                                <w:szCs w:val="24"/>
                                <w:lang w:val="en-US" w:eastAsia="zh-CN"/>
                              </w:rPr>
                              <w:t>逸仙路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45pt;margin-top:340.55pt;height:24.65pt;width:64.9pt;z-index:251716608;mso-width-relative:page;mso-height-relative:page;" filled="f" stroked="f" coordsize="21600,21600" o:gfxdata="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Vllgi3AAAAAoBAAAPAAAAAAAA&#10;AAEAIAAAACIAAABkcnMvZG93bnJldi54bWxQSwECFAAUAAAACACHTuJAZKpCzEcCAABzBAAADgAA&#10;AAAAAAABACAAAAArAQAAZHJzL2Uyb0RvYy54bWxQSwUGAAAAAAYABgBZAQAA5AUAAAAA&#10;">
                <v:fill on="f" focussize="0,0"/>
                <v:stroke on="f" weight="0.5pt"/>
                <v:imagedata o:title=""/>
                <o:lock v:ext="edit" aspectratio="f"/>
                <v:textbox>
                  <w:txbxContent>
                    <w:p w14:paraId="6E96E21A">
                      <w:pPr>
                        <w:rPr>
                          <w:rFonts w:hint="default" w:eastAsia="宋体"/>
                          <w:b/>
                          <w:bCs/>
                          <w:sz w:val="24"/>
                          <w:szCs w:val="24"/>
                          <w:lang w:val="en-US" w:eastAsia="zh-CN"/>
                        </w:rPr>
                      </w:pPr>
                      <w:r>
                        <w:rPr>
                          <w:rFonts w:hint="eastAsia"/>
                          <w:b/>
                          <w:bCs/>
                          <w:sz w:val="24"/>
                          <w:szCs w:val="24"/>
                          <w:lang w:val="en-US" w:eastAsia="zh-CN"/>
                        </w:rPr>
                        <w:t>逸仙路</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34016" behindDoc="0" locked="0" layoutInCell="1" allowOverlap="1">
                <wp:simplePos x="0" y="0"/>
                <wp:positionH relativeFrom="column">
                  <wp:posOffset>985520</wp:posOffset>
                </wp:positionH>
                <wp:positionV relativeFrom="paragraph">
                  <wp:posOffset>3531870</wp:posOffset>
                </wp:positionV>
                <wp:extent cx="659765" cy="319405"/>
                <wp:effectExtent l="0" t="0" r="0" b="0"/>
                <wp:wrapNone/>
                <wp:docPr id="165" name="文本框 165"/>
                <wp:cNvGraphicFramePr/>
                <a:graphic xmlns:a="http://schemas.openxmlformats.org/drawingml/2006/main">
                  <a:graphicData uri="http://schemas.microsoft.com/office/word/2010/wordprocessingShape">
                    <wps:wsp>
                      <wps:cNvSpPr txBox="1"/>
                      <wps:spPr>
                        <a:xfrm rot="2640000">
                          <a:off x="2263140" y="4619625"/>
                          <a:ext cx="659765" cy="3194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4A87BB">
                            <w:pPr>
                              <w:rPr>
                                <w:rFonts w:hint="eastAsia" w:eastAsia="宋体"/>
                                <w:b/>
                                <w:bCs/>
                                <w:lang w:val="en-US" w:eastAsia="zh-CN"/>
                              </w:rPr>
                            </w:pPr>
                            <w:r>
                              <w:rPr>
                                <w:rFonts w:hint="eastAsia"/>
                                <w:b/>
                                <w:bCs/>
                                <w:lang w:val="en-US" w:eastAsia="zh-CN"/>
                              </w:rPr>
                              <w:t>保安室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7.6pt;margin-top:278.1pt;height:25.15pt;width:51.95pt;rotation:2883584f;z-index:251734016;mso-width-relative:page;mso-height-relative:page;" filled="f" stroked="f" coordsize="21600,21600" o:gfxdata="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M6c2Z2QAAAAsBAAAP&#10;AAAAAAAAAAEAIAAAACIAAABkcnMvZG93bnJldi54bWxQSwECFAAUAAAACACHTuJAB7V+k1ACAACD&#10;BAAADgAAAAAAAAABACAAAAAoAQAAZHJzL2Uyb0RvYy54bWxQSwUGAAAAAAYABgBZAQAA6gUAAAAA&#10;">
                <v:fill on="f" focussize="0,0"/>
                <v:stroke on="f" weight="0.5pt"/>
                <v:imagedata o:title=""/>
                <o:lock v:ext="edit" aspectratio="f"/>
                <v:textbox>
                  <w:txbxContent>
                    <w:p w14:paraId="1B4A87BB">
                      <w:pPr>
                        <w:rPr>
                          <w:rFonts w:hint="eastAsia" w:eastAsia="宋体"/>
                          <w:b/>
                          <w:bCs/>
                          <w:lang w:val="en-US" w:eastAsia="zh-CN"/>
                        </w:rPr>
                      </w:pPr>
                      <w:r>
                        <w:rPr>
                          <w:rFonts w:hint="eastAsia"/>
                          <w:b/>
                          <w:bCs/>
                          <w:lang w:val="en-US" w:eastAsia="zh-CN"/>
                        </w:rPr>
                        <w:t>保安室</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32992" behindDoc="0" locked="0" layoutInCell="1" allowOverlap="1">
                <wp:simplePos x="0" y="0"/>
                <wp:positionH relativeFrom="column">
                  <wp:posOffset>1350010</wp:posOffset>
                </wp:positionH>
                <wp:positionV relativeFrom="paragraph">
                  <wp:posOffset>3402330</wp:posOffset>
                </wp:positionV>
                <wp:extent cx="216535" cy="174625"/>
                <wp:effectExtent l="40005" t="59055" r="48260" b="71120"/>
                <wp:wrapNone/>
                <wp:docPr id="164" name="矩形 164"/>
                <wp:cNvGraphicFramePr/>
                <a:graphic xmlns:a="http://schemas.openxmlformats.org/drawingml/2006/main">
                  <a:graphicData uri="http://schemas.microsoft.com/office/word/2010/wordprocessingShape">
                    <wps:wsp>
                      <wps:cNvSpPr/>
                      <wps:spPr>
                        <a:xfrm rot="19140000">
                          <a:off x="2404110" y="4374515"/>
                          <a:ext cx="216535" cy="174625"/>
                        </a:xfrm>
                        <a:prstGeom prst="rect">
                          <a:avLst/>
                        </a:prstGeom>
                        <a:noFill/>
                        <a:ln w="190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6.3pt;margin-top:267.9pt;height:13.75pt;width:17.05pt;rotation:-2686976f;z-index:251732992;v-text-anchor:middle;mso-width-relative:page;mso-height-relative:page;" filled="f" stroked="t" coordsize="21600,21600" o:gfxdata="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IZXbd/aAAAACwEAAA8AAAAAAAAAAQAgAAAAIgAAAGRycy9k&#10;b3ducmV2LnhtbFBLAQIUABQAAAAIAIdO4kCU5V/ycgIAANIEAAAOAAAAAAAAAAEAIAAAACkBAABk&#10;cnMvZTJvRG9jLnhtbFBLBQYAAAAABgAGAFkBAAANBgAAAAA=&#10;">
                <v:fill on="f" focussize="0,0"/>
                <v:stroke weight="1.5pt" color="#000000 [3213]" joinstyle="round"/>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09440" behindDoc="0" locked="0" layoutInCell="1" allowOverlap="1">
                <wp:simplePos x="0" y="0"/>
                <wp:positionH relativeFrom="column">
                  <wp:posOffset>3152775</wp:posOffset>
                </wp:positionH>
                <wp:positionV relativeFrom="paragraph">
                  <wp:posOffset>2560320</wp:posOffset>
                </wp:positionV>
                <wp:extent cx="2277110" cy="2485390"/>
                <wp:effectExtent l="12700" t="12700" r="15240" b="16510"/>
                <wp:wrapNone/>
                <wp:docPr id="34" name="任意多边形 34"/>
                <wp:cNvGraphicFramePr/>
                <a:graphic xmlns:a="http://schemas.openxmlformats.org/drawingml/2006/main">
                  <a:graphicData uri="http://schemas.microsoft.com/office/word/2010/wordprocessingShape">
                    <wps:wsp>
                      <wps:cNvSpPr/>
                      <wps:spPr>
                        <a:xfrm>
                          <a:off x="4233545" y="3503295"/>
                          <a:ext cx="2277110" cy="2485390"/>
                        </a:xfrm>
                        <a:custGeom>
                          <a:avLst/>
                          <a:gdLst>
                            <a:gd name="connisteX0" fmla="*/ 695325 w 2228850"/>
                            <a:gd name="connsiteY0" fmla="*/ 0 h 2514600"/>
                            <a:gd name="connisteX1" fmla="*/ 190500 w 2228850"/>
                            <a:gd name="connsiteY1" fmla="*/ 428625 h 2514600"/>
                            <a:gd name="connisteX2" fmla="*/ 476250 w 2228850"/>
                            <a:gd name="connsiteY2" fmla="*/ 752475 h 2514600"/>
                            <a:gd name="connisteX3" fmla="*/ 0 w 2228850"/>
                            <a:gd name="connsiteY3" fmla="*/ 2266950 h 2514600"/>
                            <a:gd name="connisteX4" fmla="*/ 238125 w 2228850"/>
                            <a:gd name="connsiteY4" fmla="*/ 2505075 h 2514600"/>
                            <a:gd name="connisteX5" fmla="*/ 1466850 w 2228850"/>
                            <a:gd name="connsiteY5" fmla="*/ 2514600 h 2514600"/>
                            <a:gd name="connisteX6" fmla="*/ 2228850 w 2228850"/>
                            <a:gd name="connsiteY6" fmla="*/ 571500 h 2514600"/>
                            <a:gd name="connisteX7" fmla="*/ 695325 w 2228850"/>
                            <a:gd name="connsiteY7" fmla="*/ 0 h 25146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2228850" h="2514600">
                              <a:moveTo>
                                <a:pt x="695325" y="0"/>
                              </a:moveTo>
                              <a:lnTo>
                                <a:pt x="190500" y="428625"/>
                              </a:lnTo>
                              <a:lnTo>
                                <a:pt x="476250" y="752475"/>
                              </a:lnTo>
                              <a:lnTo>
                                <a:pt x="0" y="2266950"/>
                              </a:lnTo>
                              <a:lnTo>
                                <a:pt x="238125" y="2505075"/>
                              </a:lnTo>
                              <a:lnTo>
                                <a:pt x="1466850" y="2514600"/>
                              </a:lnTo>
                              <a:lnTo>
                                <a:pt x="2228850" y="571500"/>
                              </a:lnTo>
                              <a:lnTo>
                                <a:pt x="695325" y="0"/>
                              </a:lnTo>
                              <a:close/>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48.25pt;margin-top:201.6pt;height:195.7pt;width:179.3pt;z-index:251709440;mso-width-relative:page;mso-height-relative:page;" filled="f" stroked="t" coordsize="2228850,2514600" o:gfxdata="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" path="m695325,0l190500,428625,476250,752475,0,2266950,238125,2505075,1466850,2514600,2228850,571500,695325,0xe">
                <v:path o:connectlocs="710380,0;194624,423646;486561,743734;0,2240616;243280,2475975;1498610,2485390;2277110,564861;710380,0" o:connectangles="0,0,0,0,0,0,0,0"/>
                <v:fill on="f" focussize="0,0"/>
                <v:stroke weight="2pt" color="#000000 [3213]" joinstyle="round"/>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07392" behindDoc="0" locked="0" layoutInCell="1" allowOverlap="1">
                <wp:simplePos x="0" y="0"/>
                <wp:positionH relativeFrom="column">
                  <wp:posOffset>5210175</wp:posOffset>
                </wp:positionH>
                <wp:positionV relativeFrom="paragraph">
                  <wp:posOffset>491490</wp:posOffset>
                </wp:positionV>
                <wp:extent cx="819150" cy="345440"/>
                <wp:effectExtent l="0" t="0" r="0" b="0"/>
                <wp:wrapNone/>
                <wp:docPr id="31" name="文本框 31"/>
                <wp:cNvGraphicFramePr/>
                <a:graphic xmlns:a="http://schemas.openxmlformats.org/drawingml/2006/main">
                  <a:graphicData uri="http://schemas.microsoft.com/office/word/2010/wordprocessingShape">
                    <wps:wsp>
                      <wps:cNvSpPr txBox="1"/>
                      <wps:spPr>
                        <a:xfrm>
                          <a:off x="5690870" y="1123950"/>
                          <a:ext cx="819150" cy="345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8ECF8A">
                            <w:pPr>
                              <w:rPr>
                                <w:rFonts w:hint="default" w:eastAsia="宋体"/>
                                <w:b/>
                                <w:bCs/>
                                <w:sz w:val="24"/>
                                <w:szCs w:val="24"/>
                                <w:lang w:val="en-US" w:eastAsia="zh-CN"/>
                              </w:rPr>
                            </w:pPr>
                            <w:r>
                              <w:rPr>
                                <w:rFonts w:hint="eastAsia"/>
                                <w:b/>
                                <w:bCs/>
                                <w:sz w:val="24"/>
                                <w:szCs w:val="24"/>
                                <w:lang w:val="en-US" w:eastAsia="zh-CN"/>
                              </w:rPr>
                              <w:t>林地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0.25pt;margin-top:38.7pt;height:27.2pt;width:64.5pt;z-index:251707392;mso-width-relative:page;mso-height-relative:page;" filled="f" stroked="f" coordsize="21600,21600" o:gfxdata="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5yJpv2wAAAAoBAAAPAAAAAAAAAAEA&#10;IAAAACIAAABkcnMvZG93bnJldi54bWxQSwECFAAUAAAACACHTuJAB3+5+0UCAABzBAAADgAAAAAA&#10;AAABACAAAAAqAQAAZHJzL2Uyb0RvYy54bWxQSwUGAAAAAAYABgBZAQAA4QUAAAAA&#10;">
                <v:fill on="f" focussize="0,0"/>
                <v:stroke on="f" weight="0.5pt"/>
                <v:imagedata o:title=""/>
                <o:lock v:ext="edit" aspectratio="f"/>
                <v:textbox>
                  <w:txbxContent>
                    <w:p w14:paraId="1D8ECF8A">
                      <w:pPr>
                        <w:rPr>
                          <w:rFonts w:hint="default" w:eastAsia="宋体"/>
                          <w:b/>
                          <w:bCs/>
                          <w:sz w:val="24"/>
                          <w:szCs w:val="24"/>
                          <w:lang w:val="en-US" w:eastAsia="zh-CN"/>
                        </w:rPr>
                      </w:pPr>
                      <w:r>
                        <w:rPr>
                          <w:rFonts w:hint="eastAsia"/>
                          <w:b/>
                          <w:bCs/>
                          <w:sz w:val="24"/>
                          <w:szCs w:val="24"/>
                          <w:lang w:val="en-US" w:eastAsia="zh-CN"/>
                        </w:rPr>
                        <w:t>林地</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2512" behindDoc="0" locked="0" layoutInCell="1" allowOverlap="1">
                <wp:simplePos x="0" y="0"/>
                <wp:positionH relativeFrom="column">
                  <wp:posOffset>5073650</wp:posOffset>
                </wp:positionH>
                <wp:positionV relativeFrom="paragraph">
                  <wp:posOffset>2633345</wp:posOffset>
                </wp:positionV>
                <wp:extent cx="877570" cy="435610"/>
                <wp:effectExtent l="0" t="0" r="0" b="0"/>
                <wp:wrapNone/>
                <wp:docPr id="43" name="文本框 43"/>
                <wp:cNvGraphicFramePr/>
                <a:graphic xmlns:a="http://schemas.openxmlformats.org/drawingml/2006/main">
                  <a:graphicData uri="http://schemas.microsoft.com/office/word/2010/wordprocessingShape">
                    <wps:wsp>
                      <wps:cNvSpPr txBox="1"/>
                      <wps:spPr>
                        <a:xfrm>
                          <a:off x="5907405" y="3101975"/>
                          <a:ext cx="877570" cy="435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BEDD6">
                            <w:pPr>
                              <w:rPr>
                                <w:rFonts w:hint="default" w:eastAsia="宋体"/>
                                <w:b/>
                                <w:bCs/>
                                <w:lang w:val="en-US" w:eastAsia="zh-CN"/>
                              </w:rPr>
                            </w:pPr>
                            <w:r>
                              <w:rPr>
                                <w:rFonts w:hint="eastAsia"/>
                                <w:b/>
                                <w:bCs/>
                                <w:lang w:val="en-US" w:eastAsia="zh-CN"/>
                              </w:rPr>
                              <w:t>泛达科技园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9.5pt;margin-top:207.35pt;height:34.3pt;width:69.1pt;z-index:251712512;mso-width-relative:page;mso-height-relative:page;" filled="f" stroked="f" coordsize="21600,21600" o:gfxdata="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7JBiZNwAAAALAQAADwAA&#10;AAAAAAABACAAAAAiAAAAZHJzL2Rvd25yZXYueG1sUEsBAhQAFAAAAAgAh07iQFCtXhVLAgAAcwQA&#10;AA4AAAAAAAAAAQAgAAAAKwEAAGRycy9lMm9Eb2MueG1sUEsFBgAAAAAGAAYAWQEAAOgFAAAAAA==&#10;">
                <v:fill on="f" focussize="0,0"/>
                <v:stroke on="f" weight="0.5pt"/>
                <v:imagedata o:title=""/>
                <o:lock v:ext="edit" aspectratio="f"/>
                <v:textbox>
                  <w:txbxContent>
                    <w:p w14:paraId="286BEDD6">
                      <w:pPr>
                        <w:rPr>
                          <w:rFonts w:hint="default" w:eastAsia="宋体"/>
                          <w:b/>
                          <w:bCs/>
                          <w:lang w:val="en-US" w:eastAsia="zh-CN"/>
                        </w:rPr>
                      </w:pPr>
                      <w:r>
                        <w:rPr>
                          <w:rFonts w:hint="eastAsia"/>
                          <w:b/>
                          <w:bCs/>
                          <w:lang w:val="en-US" w:eastAsia="zh-CN"/>
                        </w:rPr>
                        <w:t>泛达科技园</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24800" behindDoc="0" locked="0" layoutInCell="1" allowOverlap="1">
                <wp:simplePos x="0" y="0"/>
                <wp:positionH relativeFrom="column">
                  <wp:posOffset>2621915</wp:posOffset>
                </wp:positionH>
                <wp:positionV relativeFrom="paragraph">
                  <wp:posOffset>1274445</wp:posOffset>
                </wp:positionV>
                <wp:extent cx="822325" cy="2790190"/>
                <wp:effectExtent l="0" t="828675" r="0" b="844550"/>
                <wp:wrapNone/>
                <wp:docPr id="14" name="矩形 14"/>
                <wp:cNvGraphicFramePr/>
                <a:graphic xmlns:a="http://schemas.openxmlformats.org/drawingml/2006/main">
                  <a:graphicData uri="http://schemas.microsoft.com/office/word/2010/wordprocessingShape">
                    <wps:wsp>
                      <wps:cNvSpPr/>
                      <wps:spPr>
                        <a:xfrm rot="2940000">
                          <a:off x="2998470" y="3444240"/>
                          <a:ext cx="822325" cy="2790190"/>
                        </a:xfrm>
                        <a:prstGeom prst="rect">
                          <a:avLst/>
                        </a:prstGeom>
                        <a:noFill/>
                        <a:ln w="285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6.45pt;margin-top:100.35pt;height:219.7pt;width:64.75pt;rotation:3211264f;z-index:251724800;v-text-anchor:middle;mso-width-relative:page;mso-height-relative:page;" filled="f" stroked="t" coordsize="21600,21600" o:gfxdata="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qRnbcdsAAAALAQAADwAAAAAAAAABACAAAAAiAAAAZHJzL2Rv&#10;d25yZXYueG1sUEsBAhQAFAAAAAgAh07iQFDiiMxwAgAA0AQAAA4AAAAAAAAAAQAgAAAAKgEAAGRy&#10;cy9lMm9Eb2MueG1sUEsFBgAAAAAGAAYAWQEAAAwGAAAAAA==&#10;">
                <v:fill on="f" focussize="0,0"/>
                <v:stroke weight="2.25pt" color="#000000 [3213]" joinstyle="round"/>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29920" behindDoc="0" locked="0" layoutInCell="1" allowOverlap="1">
                <wp:simplePos x="0" y="0"/>
                <wp:positionH relativeFrom="column">
                  <wp:posOffset>3945255</wp:posOffset>
                </wp:positionH>
                <wp:positionV relativeFrom="paragraph">
                  <wp:posOffset>1173480</wp:posOffset>
                </wp:positionV>
                <wp:extent cx="786765" cy="659765"/>
                <wp:effectExtent l="191135" t="132080" r="196850" b="147955"/>
                <wp:wrapNone/>
                <wp:docPr id="108" name="矩形 108"/>
                <wp:cNvGraphicFramePr/>
                <a:graphic xmlns:a="http://schemas.openxmlformats.org/drawingml/2006/main">
                  <a:graphicData uri="http://schemas.microsoft.com/office/word/2010/wordprocessingShape">
                    <wps:wsp>
                      <wps:cNvSpPr/>
                      <wps:spPr>
                        <a:xfrm rot="2880000">
                          <a:off x="3700145" y="2041525"/>
                          <a:ext cx="786765" cy="65976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0.65pt;margin-top:92.4pt;height:51.95pt;width:61.95pt;rotation:3145728f;z-index:251729920;v-text-anchor:middle;mso-width-relative:page;mso-height-relative:page;" filled="f" stroked="t" coordsize="21600,21600" o:gfxdata="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v9fNRtwAAAALAQAADwAAAAAAAAABACAAAAAiAAAAZHJz&#10;L2Rvd25yZXYueG1sUEsBAhQAFAAAAAgAh07iQKUdWDNyAgAA0QQAAA4AAAAAAAAAAQAgAAAAKwEA&#10;AGRycy9lMm9Eb2MueG1sUEsFBgAAAAAGAAYAWQEAAA8GAAAAAA==&#10;">
                <v:fill on="f" focussize="0,0"/>
                <v:stroke weight="2pt" color="#FF0000 [2404]" joinstyle="round"/>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25824" behindDoc="0" locked="0" layoutInCell="1" allowOverlap="1">
                <wp:simplePos x="0" y="0"/>
                <wp:positionH relativeFrom="column">
                  <wp:posOffset>2947035</wp:posOffset>
                </wp:positionH>
                <wp:positionV relativeFrom="paragraph">
                  <wp:posOffset>2062480</wp:posOffset>
                </wp:positionV>
                <wp:extent cx="752475" cy="705485"/>
                <wp:effectExtent l="23495" t="0" r="0" b="0"/>
                <wp:wrapNone/>
                <wp:docPr id="20" name="文本框 20"/>
                <wp:cNvGraphicFramePr/>
                <a:graphic xmlns:a="http://schemas.openxmlformats.org/drawingml/2006/main">
                  <a:graphicData uri="http://schemas.microsoft.com/office/word/2010/wordprocessingShape">
                    <wps:wsp>
                      <wps:cNvSpPr txBox="1"/>
                      <wps:spPr>
                        <a:xfrm rot="2940000">
                          <a:off x="3893820" y="3253740"/>
                          <a:ext cx="752475" cy="7054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0ABA3">
                            <w:pPr>
                              <w:rPr>
                                <w:rFonts w:hint="default" w:eastAsia="宋体"/>
                                <w:b/>
                                <w:bCs/>
                                <w:lang w:val="en-US" w:eastAsia="zh-CN"/>
                              </w:rPr>
                            </w:pPr>
                            <w:r>
                              <w:rPr>
                                <w:rFonts w:hint="eastAsia"/>
                                <w:b/>
                                <w:bCs/>
                                <w:lang w:val="en-US" w:eastAsia="zh-CN"/>
                              </w:rPr>
                              <w:t>中山厚德快速模具有限公司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2.05pt;margin-top:162.4pt;height:55.55pt;width:59.25pt;rotation:3211264f;z-index:251725824;mso-width-relative:page;mso-height-relative:page;" filled="f" stroked="f" coordsize="21600,21600" o:gfxdata="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wWIXy3AAAAAsBAAAP&#10;AAAAAAAAAAEAIAAAACIAAABkcnMvZG93bnJldi54bWxQSwECFAAUAAAACACHTuJAvCjB8U0CAACB&#10;BAAADgAAAAAAAAABACAAAAArAQAAZHJzL2Uyb0RvYy54bWxQSwUGAAAAAAYABgBZAQAA6gUAAAAA&#10;">
                <v:fill on="f" focussize="0,0"/>
                <v:stroke on="f" weight="0.5pt"/>
                <v:imagedata o:title=""/>
                <o:lock v:ext="edit" aspectratio="f"/>
                <v:textbox>
                  <w:txbxContent>
                    <w:p w14:paraId="4560ABA3">
                      <w:pPr>
                        <w:rPr>
                          <w:rFonts w:hint="default" w:eastAsia="宋体"/>
                          <w:b/>
                          <w:bCs/>
                          <w:lang w:val="en-US" w:eastAsia="zh-CN"/>
                        </w:rPr>
                      </w:pPr>
                      <w:r>
                        <w:rPr>
                          <w:rFonts w:hint="eastAsia"/>
                          <w:b/>
                          <w:bCs/>
                          <w:lang w:val="en-US" w:eastAsia="zh-CN"/>
                        </w:rPr>
                        <w:t>中山厚德快速模具有限公司</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3536" behindDoc="0" locked="0" layoutInCell="1" allowOverlap="1">
                <wp:simplePos x="0" y="0"/>
                <wp:positionH relativeFrom="column">
                  <wp:posOffset>4047490</wp:posOffset>
                </wp:positionH>
                <wp:positionV relativeFrom="paragraph">
                  <wp:posOffset>1314450</wp:posOffset>
                </wp:positionV>
                <wp:extent cx="612775" cy="400050"/>
                <wp:effectExtent l="0" t="0" r="0" b="0"/>
                <wp:wrapNone/>
                <wp:docPr id="44" name="文本框 44"/>
                <wp:cNvGraphicFramePr/>
                <a:graphic xmlns:a="http://schemas.openxmlformats.org/drawingml/2006/main">
                  <a:graphicData uri="http://schemas.microsoft.com/office/word/2010/wordprocessingShape">
                    <wps:wsp>
                      <wps:cNvSpPr txBox="1"/>
                      <wps:spPr>
                        <a:xfrm>
                          <a:off x="4165600" y="3305810"/>
                          <a:ext cx="612775" cy="400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BCBB3">
                            <w:pPr>
                              <w:rPr>
                                <w:rFonts w:hint="eastAsia" w:eastAsia="宋体"/>
                                <w:b/>
                                <w:bCs/>
                                <w:color w:val="FF0000"/>
                                <w:lang w:val="en-US" w:eastAsia="zh-CN"/>
                              </w:rPr>
                            </w:pPr>
                            <w:r>
                              <w:rPr>
                                <w:rFonts w:hint="eastAsia"/>
                                <w:b/>
                                <w:bCs/>
                                <w:color w:val="FF0000"/>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8.7pt;margin-top:103.5pt;height:31.5pt;width:48.25pt;z-index:251713536;mso-width-relative:page;mso-height-relative:page;" filled="f" stroked="f" coordsize="21600,21600" o:gfxdata="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Kg/IrbAAAACwEAAA8AAAAAAAAA&#10;AQAgAAAAIgAAAGRycy9kb3ducmV2LnhtbFBLAQIUABQAAAAIAIdO4kDzh+j9RwIAAHMEAAAOAAAA&#10;AAAAAAEAIAAAACoBAABkcnMvZTJvRG9jLnhtbFBLBQYAAAAABgAGAFkBAADjBQAAAAA=&#10;">
                <v:fill on="f" focussize="0,0"/>
                <v:stroke on="f" weight="0.5pt"/>
                <v:imagedata o:title=""/>
                <o:lock v:ext="edit" aspectratio="f"/>
                <v:textbox>
                  <w:txbxContent>
                    <w:p w14:paraId="283BCBB3">
                      <w:pPr>
                        <w:rPr>
                          <w:rFonts w:hint="eastAsia" w:eastAsia="宋体"/>
                          <w:b/>
                          <w:bCs/>
                          <w:color w:val="FF0000"/>
                          <w:lang w:val="en-US" w:eastAsia="zh-CN"/>
                        </w:rPr>
                      </w:pPr>
                      <w:r>
                        <w:rPr>
                          <w:rFonts w:hint="eastAsia"/>
                          <w:b/>
                          <w:bCs/>
                          <w:color w:val="FF0000"/>
                          <w:lang w:val="en-US" w:eastAsia="zh-CN"/>
                        </w:rPr>
                        <w:t>本项目</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5584" behindDoc="0" locked="0" layoutInCell="1" allowOverlap="1">
                <wp:simplePos x="0" y="0"/>
                <wp:positionH relativeFrom="column">
                  <wp:posOffset>377190</wp:posOffset>
                </wp:positionH>
                <wp:positionV relativeFrom="paragraph">
                  <wp:posOffset>809625</wp:posOffset>
                </wp:positionV>
                <wp:extent cx="1149350" cy="258445"/>
                <wp:effectExtent l="0" t="0" r="0" b="0"/>
                <wp:wrapNone/>
                <wp:docPr id="72" name="文本框 72"/>
                <wp:cNvGraphicFramePr/>
                <a:graphic xmlns:a="http://schemas.openxmlformats.org/drawingml/2006/main">
                  <a:graphicData uri="http://schemas.microsoft.com/office/word/2010/wordprocessingShape">
                    <wps:wsp>
                      <wps:cNvSpPr txBox="1"/>
                      <wps:spPr>
                        <a:xfrm>
                          <a:off x="1457325" y="1781810"/>
                          <a:ext cx="1149350" cy="258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CC4294">
                            <w:pPr>
                              <w:rPr>
                                <w:rFonts w:hint="default" w:eastAsia="宋体"/>
                                <w:b/>
                                <w:bCs/>
                                <w:lang w:val="en-US" w:eastAsia="zh-CN"/>
                              </w:rPr>
                            </w:pPr>
                            <w:r>
                              <w:rPr>
                                <w:rFonts w:hint="eastAsia"/>
                                <w:b/>
                                <w:bCs/>
                                <w:lang w:val="en-US" w:eastAsia="zh-CN"/>
                              </w:rPr>
                              <w:t>腾旭科技产业园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7pt;margin-top:63.75pt;height:20.35pt;width:90.5pt;z-index:251715584;mso-width-relative:page;mso-height-relative:page;" filled="f" stroked="f" coordsize="21600,21600" o:gfxdata="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4bYq3toAAAAKAQAADwAAAAAAAAABACAA&#10;AAAiAAAAZHJzL2Rvd25yZXYueG1sUEsBAhQAFAAAAAgAh07iQMwNxddEAgAAdAQAAA4AAAAAAAAA&#10;AQAgAAAAKQEAAGRycy9lMm9Eb2MueG1sUEsFBgAAAAAGAAYAWQEAAN8FAAAAAA==&#10;">
                <v:fill on="f" focussize="0,0"/>
                <v:stroke on="f" weight="0.5pt"/>
                <v:imagedata o:title=""/>
                <o:lock v:ext="edit" aspectratio="f"/>
                <v:textbox>
                  <w:txbxContent>
                    <w:p w14:paraId="09CC4294">
                      <w:pPr>
                        <w:rPr>
                          <w:rFonts w:hint="default" w:eastAsia="宋体"/>
                          <w:b/>
                          <w:bCs/>
                          <w:lang w:val="en-US" w:eastAsia="zh-CN"/>
                        </w:rPr>
                      </w:pPr>
                      <w:r>
                        <w:rPr>
                          <w:rFonts w:hint="eastAsia"/>
                          <w:b/>
                          <w:bCs/>
                          <w:lang w:val="en-US" w:eastAsia="zh-CN"/>
                        </w:rPr>
                        <w:t>腾旭科技产业园</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1488" behindDoc="0" locked="0" layoutInCell="1" allowOverlap="1">
                <wp:simplePos x="0" y="0"/>
                <wp:positionH relativeFrom="column">
                  <wp:posOffset>3729355</wp:posOffset>
                </wp:positionH>
                <wp:positionV relativeFrom="paragraph">
                  <wp:posOffset>3345815</wp:posOffset>
                </wp:positionV>
                <wp:extent cx="1183005" cy="619760"/>
                <wp:effectExtent l="0" t="0" r="0" b="0"/>
                <wp:wrapNone/>
                <wp:docPr id="39" name="文本框 39"/>
                <wp:cNvGraphicFramePr/>
                <a:graphic xmlns:a="http://schemas.openxmlformats.org/drawingml/2006/main">
                  <a:graphicData uri="http://schemas.microsoft.com/office/word/2010/wordprocessingShape">
                    <wps:wsp>
                      <wps:cNvSpPr txBox="1"/>
                      <wps:spPr>
                        <a:xfrm>
                          <a:off x="4952365" y="4420235"/>
                          <a:ext cx="1183005" cy="619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698FFE">
                            <w:pPr>
                              <w:rPr>
                                <w:rFonts w:hint="default" w:eastAsia="宋体"/>
                                <w:b/>
                                <w:bCs/>
                                <w:sz w:val="21"/>
                                <w:szCs w:val="21"/>
                                <w:lang w:val="en-US" w:eastAsia="zh-CN"/>
                              </w:rPr>
                            </w:pPr>
                            <w:r>
                              <w:rPr>
                                <w:rFonts w:hint="eastAsia"/>
                                <w:b/>
                                <w:bCs/>
                                <w:sz w:val="21"/>
                                <w:szCs w:val="21"/>
                                <w:lang w:val="en-US" w:eastAsia="zh-CN"/>
                              </w:rPr>
                              <w:t>中山市珠玻玻璃制品有限公司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3.65pt;margin-top:263.45pt;height:48.8pt;width:93.15pt;z-index:251711488;mso-width-relative:page;mso-height-relative:page;" filled="f" stroked="f" coordsize="21600,21600" o:gfxdata="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DAAdfvdAAAACwEAAA8AAAAA&#10;AAAAAQAgAAAAIgAAAGRycy9kb3ducmV2LnhtbFBLAQIUABQAAAAIAIdO4kAusbXsSAIAAHQEAAAO&#10;AAAAAAAAAAEAIAAAACwBAABkcnMvZTJvRG9jLnhtbFBLBQYAAAAABgAGAFkBAADmBQAAAAA=&#10;">
                <v:fill on="f" focussize="0,0"/>
                <v:stroke on="f" weight="0.5pt"/>
                <v:imagedata o:title=""/>
                <o:lock v:ext="edit" aspectratio="f"/>
                <v:textbox>
                  <w:txbxContent>
                    <w:p w14:paraId="74698FFE">
                      <w:pPr>
                        <w:rPr>
                          <w:rFonts w:hint="default" w:eastAsia="宋体"/>
                          <w:b/>
                          <w:bCs/>
                          <w:sz w:val="21"/>
                          <w:szCs w:val="21"/>
                          <w:lang w:val="en-US" w:eastAsia="zh-CN"/>
                        </w:rPr>
                      </w:pPr>
                      <w:r>
                        <w:rPr>
                          <w:rFonts w:hint="eastAsia"/>
                          <w:b/>
                          <w:bCs/>
                          <w:sz w:val="21"/>
                          <w:szCs w:val="21"/>
                          <w:lang w:val="en-US" w:eastAsia="zh-CN"/>
                        </w:rPr>
                        <w:t>中山市珠玻玻璃制品有限公司</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4560" behindDoc="0" locked="0" layoutInCell="1" allowOverlap="1">
                <wp:simplePos x="0" y="0"/>
                <wp:positionH relativeFrom="column">
                  <wp:posOffset>2350770</wp:posOffset>
                </wp:positionH>
                <wp:positionV relativeFrom="paragraph">
                  <wp:posOffset>3776345</wp:posOffset>
                </wp:positionV>
                <wp:extent cx="1071245" cy="441960"/>
                <wp:effectExtent l="0" t="0" r="0" b="0"/>
                <wp:wrapNone/>
                <wp:docPr id="66" name="文本框 66"/>
                <wp:cNvGraphicFramePr/>
                <a:graphic xmlns:a="http://schemas.openxmlformats.org/drawingml/2006/main">
                  <a:graphicData uri="http://schemas.microsoft.com/office/word/2010/wordprocessingShape">
                    <wps:wsp>
                      <wps:cNvSpPr txBox="1"/>
                      <wps:spPr>
                        <a:xfrm>
                          <a:off x="3743960" y="4700905"/>
                          <a:ext cx="1071245" cy="4419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05A5E">
                            <w:pPr>
                              <w:rPr>
                                <w:rFonts w:hint="default" w:eastAsia="宋体"/>
                                <w:b/>
                                <w:bCs/>
                                <w:sz w:val="21"/>
                                <w:szCs w:val="21"/>
                                <w:lang w:val="en-US" w:eastAsia="zh-CN"/>
                              </w:rPr>
                            </w:pPr>
                            <w:r>
                              <w:rPr>
                                <w:rFonts w:hint="eastAsia"/>
                                <w:b/>
                                <w:bCs/>
                                <w:sz w:val="21"/>
                                <w:szCs w:val="21"/>
                                <w:lang w:val="en-US" w:eastAsia="zh-CN"/>
                              </w:rPr>
                              <w:t>中山市泽贤电子有限公司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5.1pt;margin-top:297.35pt;height:34.8pt;width:84.35pt;z-index:251714560;mso-width-relative:page;mso-height-relative:page;" filled="f" stroked="f" coordsize="21600,21600" o:gfxdata="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kCckUd0AAAALAQAADwAAAAAA&#10;AAABACAAAAAiAAAAZHJzL2Rvd25yZXYueG1sUEsBAhQAFAAAAAgAh07iQErGN9BHAgAAdAQAAA4A&#10;AAAAAAAAAQAgAAAALAEAAGRycy9lMm9Eb2MueG1sUEsFBgAAAAAGAAYAWQEAAOUFAAAAAA==&#10;">
                <v:fill on="f" focussize="0,0"/>
                <v:stroke on="f" weight="0.5pt"/>
                <v:imagedata o:title=""/>
                <o:lock v:ext="edit" aspectratio="f"/>
                <v:textbox>
                  <w:txbxContent>
                    <w:p w14:paraId="09605A5E">
                      <w:pPr>
                        <w:rPr>
                          <w:rFonts w:hint="default" w:eastAsia="宋体"/>
                          <w:b/>
                          <w:bCs/>
                          <w:sz w:val="21"/>
                          <w:szCs w:val="21"/>
                          <w:lang w:val="en-US" w:eastAsia="zh-CN"/>
                        </w:rPr>
                      </w:pPr>
                      <w:r>
                        <w:rPr>
                          <w:rFonts w:hint="eastAsia"/>
                          <w:b/>
                          <w:bCs/>
                          <w:sz w:val="21"/>
                          <w:szCs w:val="21"/>
                          <w:lang w:val="en-US" w:eastAsia="zh-CN"/>
                        </w:rPr>
                        <w:t>中山市泽贤电子有限公司</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0464" behindDoc="0" locked="0" layoutInCell="1" allowOverlap="1">
                <wp:simplePos x="0" y="0"/>
                <wp:positionH relativeFrom="column">
                  <wp:posOffset>3913505</wp:posOffset>
                </wp:positionH>
                <wp:positionV relativeFrom="paragraph">
                  <wp:posOffset>1558290</wp:posOffset>
                </wp:positionV>
                <wp:extent cx="2054860" cy="3486150"/>
                <wp:effectExtent l="12700" t="12700" r="27940" b="25400"/>
                <wp:wrapNone/>
                <wp:docPr id="36" name="任意多边形 36"/>
                <wp:cNvGraphicFramePr/>
                <a:graphic xmlns:a="http://schemas.openxmlformats.org/drawingml/2006/main">
                  <a:graphicData uri="http://schemas.microsoft.com/office/word/2010/wordprocessingShape">
                    <wps:wsp>
                      <wps:cNvSpPr/>
                      <wps:spPr>
                        <a:xfrm>
                          <a:off x="4993640" y="2530475"/>
                          <a:ext cx="2054860" cy="3486150"/>
                        </a:xfrm>
                        <a:custGeom>
                          <a:avLst/>
                          <a:gdLst>
                            <a:gd name="connisteX0" fmla="*/ 1027430 w 2054860"/>
                            <a:gd name="connsiteY0" fmla="*/ 0 h 3486150"/>
                            <a:gd name="connisteX1" fmla="*/ 0 w 2054860"/>
                            <a:gd name="connsiteY1" fmla="*/ 890270 h 3486150"/>
                            <a:gd name="connisteX2" fmla="*/ 1537970 w 2054860"/>
                            <a:gd name="connsiteY2" fmla="*/ 1483360 h 3486150"/>
                            <a:gd name="connisteX3" fmla="*/ 741680 w 2054860"/>
                            <a:gd name="connsiteY3" fmla="*/ 3478530 h 3486150"/>
                            <a:gd name="connisteX4" fmla="*/ 2047875 w 2054860"/>
                            <a:gd name="connsiteY4" fmla="*/ 3486150 h 3486150"/>
                            <a:gd name="connisteX5" fmla="*/ 2054860 w 2054860"/>
                            <a:gd name="connsiteY5" fmla="*/ 49530 h 3486150"/>
                            <a:gd name="connisteX6" fmla="*/ 1027430 w 2054860"/>
                            <a:gd name="connsiteY6" fmla="*/ 0 h 348615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2054860" h="3486150">
                              <a:moveTo>
                                <a:pt x="1027430" y="0"/>
                              </a:moveTo>
                              <a:lnTo>
                                <a:pt x="0" y="890270"/>
                              </a:lnTo>
                              <a:lnTo>
                                <a:pt x="1537970" y="1483360"/>
                              </a:lnTo>
                              <a:lnTo>
                                <a:pt x="741680" y="3478530"/>
                              </a:lnTo>
                              <a:lnTo>
                                <a:pt x="2047875" y="3486150"/>
                              </a:lnTo>
                              <a:lnTo>
                                <a:pt x="2054860" y="49530"/>
                              </a:lnTo>
                              <a:lnTo>
                                <a:pt x="1027430" y="0"/>
                              </a:lnTo>
                              <a:close/>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08.15pt;margin-top:122.7pt;height:274.5pt;width:161.8pt;z-index:251710464;mso-width-relative:page;mso-height-relative:page;" filled="f" stroked="t" coordsize="2054860,3486150" o:gfxdata="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" path="m1027430,0l0,890270,1537970,1483360,741680,3478530,2047875,3486150,2054860,49530,1027430,0xe">
                <v:path o:connectlocs="1027430,0;0,890270;1537970,1483360;741680,3478530;2047875,3486150;2054860,49530;1027430,0" o:connectangles="0,0,0,0,0,0,0"/>
                <v:fill on="f" focussize="0,0"/>
                <v:stroke weight="2pt" color="#000000 [3213]" joinstyle="round"/>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08416" behindDoc="0" locked="0" layoutInCell="1" allowOverlap="1">
                <wp:simplePos x="0" y="0"/>
                <wp:positionH relativeFrom="column">
                  <wp:posOffset>2353310</wp:posOffset>
                </wp:positionH>
                <wp:positionV relativeFrom="paragraph">
                  <wp:posOffset>3104515</wp:posOffset>
                </wp:positionV>
                <wp:extent cx="1095375" cy="1457325"/>
                <wp:effectExtent l="12700" t="12700" r="15875" b="15875"/>
                <wp:wrapNone/>
                <wp:docPr id="32" name="任意多边形 32"/>
                <wp:cNvGraphicFramePr/>
                <a:graphic xmlns:a="http://schemas.openxmlformats.org/drawingml/2006/main">
                  <a:graphicData uri="http://schemas.microsoft.com/office/word/2010/wordprocessingShape">
                    <wps:wsp>
                      <wps:cNvSpPr/>
                      <wps:spPr>
                        <a:xfrm>
                          <a:off x="3433445" y="4076700"/>
                          <a:ext cx="1095375" cy="1457325"/>
                        </a:xfrm>
                        <a:custGeom>
                          <a:avLst/>
                          <a:gdLst>
                            <a:gd name="connisteX0" fmla="*/ 0 w 1095375"/>
                            <a:gd name="connsiteY0" fmla="*/ 876300 h 1457325"/>
                            <a:gd name="connisteX1" fmla="*/ 971550 w 1095375"/>
                            <a:gd name="connsiteY1" fmla="*/ 0 h 1457325"/>
                            <a:gd name="connisteX2" fmla="*/ 1095375 w 1095375"/>
                            <a:gd name="connsiteY2" fmla="*/ 123825 h 1457325"/>
                            <a:gd name="connisteX3" fmla="*/ 619125 w 1095375"/>
                            <a:gd name="connsiteY3" fmla="*/ 1457325 h 1457325"/>
                            <a:gd name="connisteX4" fmla="*/ 0 w 1095375"/>
                            <a:gd name="connsiteY4" fmla="*/ 876300 h 145732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095375" h="1457325">
                              <a:moveTo>
                                <a:pt x="0" y="876300"/>
                              </a:moveTo>
                              <a:lnTo>
                                <a:pt x="971550" y="0"/>
                              </a:lnTo>
                              <a:lnTo>
                                <a:pt x="1095375" y="123825"/>
                              </a:lnTo>
                              <a:lnTo>
                                <a:pt x="619125" y="1457325"/>
                              </a:lnTo>
                              <a:lnTo>
                                <a:pt x="0" y="876300"/>
                              </a:lnTo>
                              <a:close/>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85.3pt;margin-top:244.45pt;height:114.75pt;width:86.25pt;z-index:251708416;mso-width-relative:page;mso-height-relative:page;" filled="f" stroked="t" coordsize="1095375,1457325" o:gfxdata="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" path="m0,876300l971550,0,1095375,123825,619125,1457325,0,876300xe">
                <v:path o:connectlocs="0,876300;971550,0;1095375,123825;619125,1457325;0,876300" o:connectangles="0,0,0,0,0"/>
                <v:fill on="f" focussize="0,0"/>
                <v:stroke weight="2pt" color="#000000 [3213]" joinstyle="round"/>
                <v:imagedata o:title=""/>
                <o:lock v:ext="edit" aspectratio="f"/>
              </v:shape>
            </w:pict>
          </mc:Fallback>
        </mc:AlternateContent>
      </w:r>
      <w:r>
        <w:rPr>
          <w:rFonts w:hint="default" w:ascii="Times New Roman" w:hAnsi="Times New Roman" w:cs="Times New Roman"/>
          <w:color w:val="000000" w:themeColor="text1"/>
          <w:sz w:val="24"/>
          <w:highlight w:val="none"/>
          <w14:textFill>
            <w14:solidFill>
              <w14:schemeClr w14:val="tx1"/>
            </w14:solidFill>
          </w14:textFill>
        </w:rPr>
        <mc:AlternateContent>
          <mc:Choice Requires="wps">
            <w:drawing>
              <wp:anchor distT="0" distB="0" distL="114300" distR="114300" simplePos="0" relativeHeight="251698176" behindDoc="0" locked="0" layoutInCell="1" allowOverlap="1">
                <wp:simplePos x="0" y="0"/>
                <wp:positionH relativeFrom="column">
                  <wp:posOffset>1591945</wp:posOffset>
                </wp:positionH>
                <wp:positionV relativeFrom="paragraph">
                  <wp:posOffset>1647825</wp:posOffset>
                </wp:positionV>
                <wp:extent cx="848995" cy="424180"/>
                <wp:effectExtent l="0" t="0" r="0" b="0"/>
                <wp:wrapNone/>
                <wp:docPr id="289" name="文本框 289"/>
                <wp:cNvGraphicFramePr/>
                <a:graphic xmlns:a="http://schemas.openxmlformats.org/drawingml/2006/main">
                  <a:graphicData uri="http://schemas.microsoft.com/office/word/2010/wordprocessingShape">
                    <wps:wsp>
                      <wps:cNvSpPr txBox="1"/>
                      <wps:spPr>
                        <a:xfrm>
                          <a:off x="5205730" y="1181735"/>
                          <a:ext cx="848995" cy="424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E2E26">
                            <w:pPr>
                              <w:rPr>
                                <w:rFonts w:hint="default" w:eastAsia="宋体"/>
                                <w:b/>
                                <w:bCs/>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5.35pt;margin-top:129.75pt;height:33.4pt;width:66.85pt;z-index:251698176;mso-width-relative:page;mso-height-relative:page;" filled="f" stroked="f" coordsize="21600,21600" o:gfxdata="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va8fdwAAAALAQAADwAA&#10;AAAAAAABACAAAAAiAAAAZHJzL2Rvd25yZXYueG1sUEsBAhQAFAAAAAgAh07iQCqJ1QpLAgAAdQQA&#10;AA4AAAAAAAAAAQAgAAAAKwEAAGRycy9lMm9Eb2MueG1sUEsFBgAAAAAGAAYAWQEAAOgFAAAAAA==&#10;">
                <v:fill on="f" focussize="0,0"/>
                <v:stroke on="f" weight="0.5pt"/>
                <v:imagedata o:title=""/>
                <o:lock v:ext="edit" aspectratio="f"/>
                <v:textbox>
                  <w:txbxContent>
                    <w:p w14:paraId="0E0E2E26">
                      <w:pPr>
                        <w:rPr>
                          <w:rFonts w:hint="default" w:eastAsia="宋体"/>
                          <w:b/>
                          <w:bCs/>
                          <w:sz w:val="24"/>
                          <w:szCs w:val="24"/>
                          <w:lang w:val="en-US" w:eastAsia="zh-CN"/>
                        </w:rPr>
                      </w:pP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05344" behindDoc="0" locked="0" layoutInCell="1" allowOverlap="1">
                <wp:simplePos x="0" y="0"/>
                <wp:positionH relativeFrom="column">
                  <wp:posOffset>10160</wp:posOffset>
                </wp:positionH>
                <wp:positionV relativeFrom="paragraph">
                  <wp:posOffset>-635</wp:posOffset>
                </wp:positionV>
                <wp:extent cx="1790700" cy="2314575"/>
                <wp:effectExtent l="12700" t="12700" r="25400" b="15875"/>
                <wp:wrapNone/>
                <wp:docPr id="6" name="任意多边形 6"/>
                <wp:cNvGraphicFramePr/>
                <a:graphic xmlns:a="http://schemas.openxmlformats.org/drawingml/2006/main">
                  <a:graphicData uri="http://schemas.microsoft.com/office/word/2010/wordprocessingShape">
                    <wps:wsp>
                      <wps:cNvSpPr/>
                      <wps:spPr>
                        <a:xfrm>
                          <a:off x="1090295" y="971550"/>
                          <a:ext cx="1790700" cy="2314575"/>
                        </a:xfrm>
                        <a:custGeom>
                          <a:avLst/>
                          <a:gdLst>
                            <a:gd name="connisteX0" fmla="*/ 19050 w 1790700"/>
                            <a:gd name="connsiteY0" fmla="*/ 847725 h 2314575"/>
                            <a:gd name="connisteX1" fmla="*/ 981075 w 1790700"/>
                            <a:gd name="connsiteY1" fmla="*/ 0 h 2314575"/>
                            <a:gd name="connisteX2" fmla="*/ 1790700 w 1790700"/>
                            <a:gd name="connsiteY2" fmla="*/ 876300 h 2314575"/>
                            <a:gd name="connisteX3" fmla="*/ 161925 w 1790700"/>
                            <a:gd name="connsiteY3" fmla="*/ 2314575 h 2314575"/>
                            <a:gd name="connisteX4" fmla="*/ 0 w 1790700"/>
                            <a:gd name="connsiteY4" fmla="*/ 2133600 h 2314575"/>
                            <a:gd name="connisteX5" fmla="*/ 19050 w 1790700"/>
                            <a:gd name="connsiteY5" fmla="*/ 847725 h 231457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790700" h="2314575">
                              <a:moveTo>
                                <a:pt x="19050" y="847725"/>
                              </a:moveTo>
                              <a:lnTo>
                                <a:pt x="981075" y="0"/>
                              </a:lnTo>
                              <a:lnTo>
                                <a:pt x="1790700" y="876300"/>
                              </a:lnTo>
                              <a:lnTo>
                                <a:pt x="161925" y="2314575"/>
                              </a:lnTo>
                              <a:lnTo>
                                <a:pt x="0" y="2133600"/>
                              </a:lnTo>
                              <a:lnTo>
                                <a:pt x="19050" y="847725"/>
                              </a:lnTo>
                              <a:close/>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0.8pt;margin-top:-0.05pt;height:182.25pt;width:141pt;z-index:251705344;mso-width-relative:page;mso-height-relative:page;" filled="f" stroked="t" coordsize="1790700,2314575" o:gfxdata="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CAO2Ce0gAAAAcBAAAPAAAAAAAAAAEA&#10;IAAAACIAAABkcnMvZG93bnJldi54bWxQSwECFAAUAAAACACHTuJAZNIuLzIDAAAhCQAADgAAAAAA&#10;AAABACAAAAAhAQAAZHJzL2Uyb0RvYy54bWxQSwUGAAAAAAYABgBZAQAAxQYAAAAA&#10;" path="m19050,847725l981075,0,1790700,876300,161925,2314575,0,2133600,19050,847725xe">
                <v:path o:connectlocs="19050,847725;981075,0;1790700,876300;161925,2314575;0,2133600;19050,847725" o:connectangles="0,0,0,0,0,0"/>
                <v:fill on="f" focussize="0,0"/>
                <v:stroke weight="2pt" color="#000000 [3213]" joinstyle="round"/>
                <v:imagedata o:title=""/>
                <o:lock v:ext="edit" aspectratio="f"/>
              </v:shape>
            </w:pict>
          </mc:Fallback>
        </mc:AlternateContent>
      </w:r>
      <w:r>
        <w:rPr>
          <w:rFonts w:hint="default" w:ascii="Times New Roman" w:hAnsi="Times New Roman" w:eastAsia="宋体" w:cs="Times New Roman"/>
          <w:b/>
          <w:color w:val="000000" w:themeColor="text1"/>
          <w:szCs w:val="21"/>
          <w:highlight w:val="none"/>
          <w14:textFill>
            <w14:solidFill>
              <w14:schemeClr w14:val="tx1"/>
            </w14:solidFill>
          </w14:textFill>
        </w:rPr>
        <w:drawing>
          <wp:anchor distT="0" distB="0" distL="114300" distR="114300" simplePos="0" relativeHeight="251664384" behindDoc="0" locked="0" layoutInCell="1" allowOverlap="1">
            <wp:simplePos x="0" y="0"/>
            <wp:positionH relativeFrom="column">
              <wp:posOffset>7063740</wp:posOffset>
            </wp:positionH>
            <wp:positionV relativeFrom="paragraph">
              <wp:posOffset>531495</wp:posOffset>
            </wp:positionV>
            <wp:extent cx="752475" cy="1006475"/>
            <wp:effectExtent l="0" t="0" r="0" b="0"/>
            <wp:wrapNone/>
            <wp:docPr id="42"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6.png"/>
                    <pic:cNvPicPr>
                      <a:picLocks noChangeAspect="1"/>
                    </pic:cNvPicPr>
                  </pic:nvPicPr>
                  <pic:blipFill>
                    <a:blip r:embed="rId25"/>
                    <a:stretch>
                      <a:fillRect/>
                    </a:stretch>
                  </pic:blipFill>
                  <pic:spPr>
                    <a:xfrm>
                      <a:off x="0" y="0"/>
                      <a:ext cx="752475" cy="1006475"/>
                    </a:xfrm>
                    <a:prstGeom prst="rect">
                      <a:avLst/>
                    </a:prstGeom>
                    <a:noFill/>
                    <a:ln>
                      <a:noFill/>
                    </a:ln>
                  </pic:spPr>
                </pic:pic>
              </a:graphicData>
            </a:graphic>
          </wp:anchor>
        </w:drawing>
      </w:r>
      <w:r>
        <w:rPr>
          <w:rFonts w:hint="default" w:ascii="Times New Roman" w:hAnsi="Times New Roman" w:cs="Times New Roman"/>
          <w:color w:val="000000" w:themeColor="text1"/>
          <w:highlight w:val="none"/>
          <w14:textFill>
            <w14:solidFill>
              <w14:schemeClr w14:val="tx1"/>
            </w14:solidFill>
          </w14:textFill>
        </w:rPr>
        <mc:AlternateContent>
          <mc:Choice Requires="wps">
            <w:drawing>
              <wp:anchor distT="0" distB="0" distL="114300" distR="114300" simplePos="0" relativeHeight="251700224" behindDoc="0" locked="0" layoutInCell="1" allowOverlap="1">
                <wp:simplePos x="0" y="0"/>
                <wp:positionH relativeFrom="column">
                  <wp:posOffset>7150735</wp:posOffset>
                </wp:positionH>
                <wp:positionV relativeFrom="paragraph">
                  <wp:posOffset>4627245</wp:posOffset>
                </wp:positionV>
                <wp:extent cx="358775" cy="71755"/>
                <wp:effectExtent l="9525" t="9525" r="12700" b="13970"/>
                <wp:wrapNone/>
                <wp:docPr id="292" name="矩形 237"/>
                <wp:cNvGraphicFramePr/>
                <a:graphic xmlns:a="http://schemas.openxmlformats.org/drawingml/2006/main">
                  <a:graphicData uri="http://schemas.microsoft.com/office/word/2010/wordprocessingShape">
                    <wps:wsp>
                      <wps:cNvSpPr/>
                      <wps:spPr>
                        <a:xfrm>
                          <a:off x="0" y="0"/>
                          <a:ext cx="358775" cy="71755"/>
                        </a:xfrm>
                        <a:prstGeom prst="rect">
                          <a:avLst/>
                        </a:prstGeom>
                        <a:solidFill>
                          <a:srgbClr val="FF0000"/>
                        </a:solidFill>
                        <a:ln w="19050" cap="flat" cmpd="sng">
                          <a:solidFill>
                            <a:srgbClr val="FF0000"/>
                          </a:solidFill>
                          <a:prstDash val="solid"/>
                          <a:miter/>
                          <a:headEnd type="none" w="med" len="med"/>
                          <a:tailEnd type="none" w="med" len="med"/>
                        </a:ln>
                      </wps:spPr>
                      <wps:bodyPr wrap="square" anchor="ctr" anchorCtr="0" upright="1"/>
                    </wps:wsp>
                  </a:graphicData>
                </a:graphic>
              </wp:anchor>
            </w:drawing>
          </mc:Choice>
          <mc:Fallback>
            <w:pict>
              <v:rect id="矩形 237" o:spid="_x0000_s1026" o:spt="1" style="position:absolute;left:0pt;margin-left:563.05pt;margin-top:364.35pt;height:5.65pt;width:28.25pt;z-index:251700224;v-text-anchor:middle;mso-width-relative:page;mso-height-relative:page;" fillcolor="#FF0000" filled="t" stroked="t" coordsize="21600,21600" o:gfxdata="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92d6X2gAAAA0BAAAPAAAA&#10;AAAAAAEAIAAAACIAAABkcnMvZG93bnJldi54bWxQSwECFAAUAAAACACHTuJA2RxQSxMCAABKBAAA&#10;DgAAAAAAAAABACAAAAApAQAAZHJzL2Uyb0RvYy54bWxQSwUGAAAAAAYABgBZAQAArgUAAAAA&#10;">
                <v:fill on="t" focussize="0,0"/>
                <v:stroke weight="1.5pt" color="#FF0000" joinstyle="miter"/>
                <v:imagedata o:title=""/>
                <o:lock v:ext="edit" aspectratio="f"/>
              </v:rect>
            </w:pict>
          </mc:Fallback>
        </mc:AlternateContent>
      </w:r>
      <w:r>
        <w:rPr>
          <w:rFonts w:hint="default" w:ascii="Times New Roman" w:hAnsi="Times New Roman" w:cs="Times New Roman"/>
          <w:color w:val="000000" w:themeColor="text1"/>
          <w:highlight w:val="none"/>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6647180</wp:posOffset>
                </wp:positionH>
                <wp:positionV relativeFrom="paragraph">
                  <wp:posOffset>4745990</wp:posOffset>
                </wp:positionV>
                <wp:extent cx="1038860" cy="257175"/>
                <wp:effectExtent l="0" t="0" r="0" b="0"/>
                <wp:wrapNone/>
                <wp:docPr id="38" name="文本框 241"/>
                <wp:cNvGraphicFramePr/>
                <a:graphic xmlns:a="http://schemas.openxmlformats.org/drawingml/2006/main">
                  <a:graphicData uri="http://schemas.microsoft.com/office/word/2010/wordprocessingShape">
                    <wps:wsp>
                      <wps:cNvSpPr txBox="1"/>
                      <wps:spPr>
                        <a:xfrm>
                          <a:off x="0" y="0"/>
                          <a:ext cx="1038860" cy="257175"/>
                        </a:xfrm>
                        <a:prstGeom prst="rect">
                          <a:avLst/>
                        </a:prstGeom>
                        <a:noFill/>
                        <a:ln w="6350">
                          <a:noFill/>
                        </a:ln>
                      </wps:spPr>
                      <wps:txbx>
                        <w:txbxContent>
                          <w:p w14:paraId="0B620B57">
                            <w:pPr>
                              <w:ind w:left="210" w:hanging="210" w:hangingChars="100"/>
                            </w:pPr>
                            <w:r>
                              <w:rPr>
                                <w:rFonts w:hint="eastAsia"/>
                                <w:lang w:val="en-US" w:eastAsia="zh-CN"/>
                              </w:rPr>
                              <w:t>0m20m40</w:t>
                            </w:r>
                            <w:r>
                              <w:rPr>
                                <w:rFonts w:hint="eastAsia"/>
                              </w:rPr>
                              <w:t>m</w:t>
                            </w:r>
                          </w:p>
                        </w:txbxContent>
                      </wps:txbx>
                      <wps:bodyPr wrap="square" upright="1"/>
                    </wps:wsp>
                  </a:graphicData>
                </a:graphic>
              </wp:anchor>
            </w:drawing>
          </mc:Choice>
          <mc:Fallback>
            <w:pict>
              <v:shape id="文本框 241" o:spid="_x0000_s1026" o:spt="202" type="#_x0000_t202" style="position:absolute;left:0pt;margin-left:523.4pt;margin-top:373.7pt;height:20.25pt;width:81.8pt;z-index:251696128;mso-width-relative:page;mso-height-relative:page;" filled="f" stroked="f" coordsize="21600,21600" o:gfxdata="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4zCqg2wAAAA0BAAAPAAAAAAAAAAEAIAAAACIAAABkcnMvZG93bnJl&#10;di54bWxQSwECFAAUAAAACACHTuJA486tlsEBAABoAwAADgAAAAAAAAABACAAAAAqAQAAZHJzL2Uy&#10;b0RvYy54bWxQSwUGAAAAAAYABgBZAQAAXQUAAAAA&#10;">
                <v:fill on="f" focussize="0,0"/>
                <v:stroke on="f" weight="0.5pt"/>
                <v:imagedata o:title=""/>
                <o:lock v:ext="edit" aspectratio="f"/>
                <v:textbox>
                  <w:txbxContent>
                    <w:p w14:paraId="0B620B57">
                      <w:pPr>
                        <w:ind w:left="210" w:hanging="210" w:hangingChars="100"/>
                      </w:pPr>
                      <w:r>
                        <w:rPr>
                          <w:rFonts w:hint="eastAsia"/>
                          <w:lang w:val="en-US" w:eastAsia="zh-CN"/>
                        </w:rPr>
                        <w:t>0m20m40</w:t>
                      </w:r>
                      <w:r>
                        <w:rPr>
                          <w:rFonts w:hint="eastAsia"/>
                        </w:rPr>
                        <w:t>m</w:t>
                      </w:r>
                    </w:p>
                  </w:txbxContent>
                </v:textbox>
              </v:shape>
            </w:pict>
          </mc:Fallback>
        </mc:AlternateContent>
      </w:r>
      <w:r>
        <w:rPr>
          <w:rFonts w:hint="default" w:ascii="Times New Roman" w:hAnsi="Times New Roman" w:cs="Times New Roman"/>
          <w:color w:val="000000" w:themeColor="text1"/>
          <w:highlight w:val="none"/>
          <w14:textFill>
            <w14:solidFill>
              <w14:schemeClr w14:val="tx1"/>
            </w14:solidFill>
          </w14:textFill>
        </w:rPr>
        <mc:AlternateContent>
          <mc:Choice Requires="wps">
            <w:drawing>
              <wp:anchor distT="0" distB="0" distL="114300" distR="114300" simplePos="0" relativeHeight="251699200" behindDoc="0" locked="0" layoutInCell="1" allowOverlap="1">
                <wp:simplePos x="0" y="0"/>
                <wp:positionH relativeFrom="column">
                  <wp:posOffset>6778625</wp:posOffset>
                </wp:positionH>
                <wp:positionV relativeFrom="paragraph">
                  <wp:posOffset>4627245</wp:posOffset>
                </wp:positionV>
                <wp:extent cx="358775" cy="71755"/>
                <wp:effectExtent l="9525" t="9525" r="12700" b="13970"/>
                <wp:wrapNone/>
                <wp:docPr id="291" name="矩形 237"/>
                <wp:cNvGraphicFramePr/>
                <a:graphic xmlns:a="http://schemas.openxmlformats.org/drawingml/2006/main">
                  <a:graphicData uri="http://schemas.microsoft.com/office/word/2010/wordprocessingShape">
                    <wps:wsp>
                      <wps:cNvSpPr/>
                      <wps:spPr>
                        <a:xfrm>
                          <a:off x="0" y="0"/>
                          <a:ext cx="358775" cy="71755"/>
                        </a:xfrm>
                        <a:prstGeom prst="rect">
                          <a:avLst/>
                        </a:prstGeom>
                        <a:solidFill>
                          <a:srgbClr val="000000"/>
                        </a:solidFill>
                        <a:ln w="1905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rect id="矩形 237" o:spid="_x0000_s1026" o:spt="1" style="position:absolute;left:0pt;margin-left:533.75pt;margin-top:364.35pt;height:5.65pt;width:28.25pt;z-index:251699200;v-text-anchor:middle;mso-width-relative:page;mso-height-relative:page;" fillcolor="#000000" filled="t" stroked="t" coordsize="21600,21600" o:gfxdata="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9N9oAAAANAQAADwAAAAAA&#10;AAABACAAAAAiAAAAZHJzL2Rvd25yZXYueG1sUEsBAhQAFAAAAAgAh07iQJ1aLVgRAgAASgQAAA4A&#10;AAAAAAAAAQAgAAAAKQEAAGRycy9lMm9Eb2MueG1sUEsFBgAAAAAGAAYAWQEAAKwFAAAAAA==&#10;">
                <v:fill on="t" focussize="0,0"/>
                <v:stroke weight="1.5pt" color="#000000" joinstyle="miter"/>
                <v:imagedata o:title=""/>
                <o:lock v:ext="edit" aspectratio="f"/>
              </v:rect>
            </w:pict>
          </mc:Fallback>
        </mc:AlternateContent>
      </w:r>
      <w:r>
        <w:rPr>
          <w:rFonts w:hint="default" w:ascii="Times New Roman" w:hAnsi="Times New Roman" w:cs="Times New Roman"/>
          <w:color w:val="000000" w:themeColor="text1"/>
          <w:highlight w:val="none"/>
          <w14:textFill>
            <w14:solidFill>
              <w14:schemeClr w14:val="tx1"/>
            </w14:solidFill>
          </w14:textFill>
        </w:rPr>
        <mc:AlternateContent>
          <mc:Choice Requires="wps">
            <w:drawing>
              <wp:anchor distT="0" distB="0" distL="114300" distR="114300" simplePos="0" relativeHeight="251697152" behindDoc="0" locked="0" layoutInCell="1" allowOverlap="1">
                <wp:simplePos x="0" y="0"/>
                <wp:positionH relativeFrom="column">
                  <wp:posOffset>6760845</wp:posOffset>
                </wp:positionH>
                <wp:positionV relativeFrom="paragraph">
                  <wp:posOffset>4305300</wp:posOffset>
                </wp:positionV>
                <wp:extent cx="662305" cy="281305"/>
                <wp:effectExtent l="0" t="0" r="0" b="0"/>
                <wp:wrapNone/>
                <wp:docPr id="41" name="文本框 100"/>
                <wp:cNvGraphicFramePr/>
                <a:graphic xmlns:a="http://schemas.openxmlformats.org/drawingml/2006/main">
                  <a:graphicData uri="http://schemas.microsoft.com/office/word/2010/wordprocessingShape">
                    <wps:wsp>
                      <wps:cNvSpPr txBox="1"/>
                      <wps:spPr>
                        <a:xfrm>
                          <a:off x="0" y="0"/>
                          <a:ext cx="662305" cy="281305"/>
                        </a:xfrm>
                        <a:prstGeom prst="rect">
                          <a:avLst/>
                        </a:prstGeom>
                        <a:noFill/>
                        <a:ln w="6350">
                          <a:noFill/>
                        </a:ln>
                      </wps:spPr>
                      <wps:txbx>
                        <w:txbxContent>
                          <w:p w14:paraId="03EFAA1E">
                            <w:r>
                              <w:rPr>
                                <w:rFonts w:hint="eastAsia"/>
                              </w:rPr>
                              <w:t>比例尺：</w:t>
                            </w:r>
                          </w:p>
                        </w:txbxContent>
                      </wps:txbx>
                      <wps:bodyPr wrap="square" upright="1"/>
                    </wps:wsp>
                  </a:graphicData>
                </a:graphic>
              </wp:anchor>
            </w:drawing>
          </mc:Choice>
          <mc:Fallback>
            <w:pict>
              <v:shape id="文本框 100" o:spid="_x0000_s1026" o:spt="202" type="#_x0000_t202" style="position:absolute;left:0pt;margin-left:532.35pt;margin-top:339pt;height:22.15pt;width:52.15pt;z-index:251697152;mso-width-relative:page;mso-height-relative:page;" filled="f" stroked="f" coordsize="21600,21600" o:gfxdata="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ZKR1u3AAAAA0BAAAPAAAAAAAAAAEAIAAAACIAAABkcnMvZG93bnJldi54&#10;bWxQSwECFAAUAAAACACHTuJAs/NX0b0BAABnAwAADgAAAAAAAAABACAAAAArAQAAZHJzL2Uyb0Rv&#10;Yy54bWxQSwUGAAAAAAYABgBZAQAAWgUAAAAA&#10;">
                <v:fill on="f" focussize="0,0"/>
                <v:stroke on="f" weight="0.5pt"/>
                <v:imagedata o:title=""/>
                <o:lock v:ext="edit" aspectratio="f"/>
                <v:textbox>
                  <w:txbxContent>
                    <w:p w14:paraId="03EFAA1E">
                      <w:r>
                        <w:rPr>
                          <w:rFonts w:hint="eastAsia"/>
                        </w:rPr>
                        <w:t>比例尺：</w:t>
                      </w:r>
                    </w:p>
                  </w:txbxContent>
                </v:textbox>
              </v:shape>
            </w:pict>
          </mc:Fallback>
        </mc:AlternateContent>
      </w:r>
      <w:r>
        <w:rPr>
          <w:color w:val="000000" w:themeColor="text1"/>
          <w:sz w:val="24"/>
          <w:highlight w:val="none"/>
          <w14:textFill>
            <w14:solidFill>
              <w14:schemeClr w14:val="tx1"/>
            </w14:solidFill>
          </w14:textFill>
        </w:rPr>
        <w:drawing>
          <wp:inline distT="0" distB="0" distL="114300" distR="114300">
            <wp:extent cx="5981065" cy="5048885"/>
            <wp:effectExtent l="0" t="0" r="635" b="18415"/>
            <wp:docPr id="4" name="图片 4" descr="8f8afb4e-daa0-4e19-be99-06ae4ee3b3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f8afb4e-daa0-4e19-be99-06ae4ee3b37a"/>
                    <pic:cNvPicPr>
                      <a:picLocks noChangeAspect="1"/>
                    </pic:cNvPicPr>
                  </pic:nvPicPr>
                  <pic:blipFill>
                    <a:blip r:embed="rId26"/>
                    <a:srcRect l="3543" t="4664"/>
                    <a:stretch>
                      <a:fillRect/>
                    </a:stretch>
                  </pic:blipFill>
                  <pic:spPr>
                    <a:xfrm>
                      <a:off x="0" y="0"/>
                      <a:ext cx="5981065" cy="5048885"/>
                    </a:xfrm>
                    <a:prstGeom prst="rect">
                      <a:avLst/>
                    </a:prstGeom>
                  </pic:spPr>
                </pic:pic>
              </a:graphicData>
            </a:graphic>
          </wp:inline>
        </w:drawing>
      </w:r>
    </w:p>
    <w:p w14:paraId="09219C6F">
      <w:pPr>
        <w:shd w:val="clear"/>
        <w:bidi w:val="0"/>
        <w:jc w:val="center"/>
        <w:rPr>
          <w:rFonts w:hint="default"/>
          <w:b/>
          <w:bCs/>
          <w:color w:val="000000" w:themeColor="text1"/>
          <w:sz w:val="36"/>
          <w:szCs w:val="36"/>
          <w:highlight w:val="none"/>
          <w:lang w:val="en-US" w:eastAsia="zh-CN"/>
          <w14:textFill>
            <w14:solidFill>
              <w14:schemeClr w14:val="tx1"/>
            </w14:solidFill>
          </w14:textFill>
        </w:rPr>
      </w:pPr>
      <w:r>
        <w:rPr>
          <w:rFonts w:hint="default"/>
          <w:b/>
          <w:bCs/>
          <w:color w:val="000000" w:themeColor="text1"/>
          <w:sz w:val="36"/>
          <w:szCs w:val="36"/>
          <w:highlight w:val="none"/>
          <w:lang w:val="en-US" w:eastAsia="zh-CN"/>
          <w14:textFill>
            <w14:solidFill>
              <w14:schemeClr w14:val="tx1"/>
            </w14:solidFill>
          </w14:textFill>
        </w:rPr>
        <w:t>附图1项目四至图</w:t>
      </w:r>
    </w:p>
    <w:p w14:paraId="7750D071">
      <w:pPr>
        <w:pStyle w:val="48"/>
        <w:shd w:val="clear"/>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sectPr>
          <w:footerReference r:id="rId9" w:type="default"/>
          <w:pgSz w:w="16838" w:h="11906" w:orient="landscape"/>
          <w:pgMar w:top="1531" w:right="1701" w:bottom="1531" w:left="1701" w:header="851" w:footer="851" w:gutter="0"/>
          <w:pgNumType w:fmt="decimal"/>
          <w:cols w:space="720" w:num="1"/>
          <w:docGrid w:linePitch="312" w:charSpace="0"/>
        </w:sectPr>
      </w:pPr>
    </w:p>
    <w:p w14:paraId="34FAC5E6">
      <w:pPr>
        <w:keepNext w:val="0"/>
        <w:keepLines w:val="0"/>
        <w:pageBreakBefore w:val="0"/>
        <w:widowControl w:val="0"/>
        <w:shd w:val="clea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18656" behindDoc="0" locked="0" layoutInCell="1" allowOverlap="1">
                <wp:simplePos x="0" y="0"/>
                <wp:positionH relativeFrom="column">
                  <wp:posOffset>988695</wp:posOffset>
                </wp:positionH>
                <wp:positionV relativeFrom="paragraph">
                  <wp:posOffset>5970905</wp:posOffset>
                </wp:positionV>
                <wp:extent cx="95250" cy="102235"/>
                <wp:effectExtent l="5080" t="4445" r="13970" b="7620"/>
                <wp:wrapNone/>
                <wp:docPr id="134" name="椭圆 74"/>
                <wp:cNvGraphicFramePr/>
                <a:graphic xmlns:a="http://schemas.openxmlformats.org/drawingml/2006/main">
                  <a:graphicData uri="http://schemas.microsoft.com/office/word/2010/wordprocessingShape">
                    <wps:wsp>
                      <wps:cNvSpPr/>
                      <wps:spPr>
                        <a:xfrm rot="240000">
                          <a:off x="0" y="0"/>
                          <a:ext cx="95021" cy="102121"/>
                        </a:xfrm>
                        <a:prstGeom prst="ellipse">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74" o:spid="_x0000_s1026" o:spt="3" type="#_x0000_t3" style="position:absolute;left:0pt;margin-left:77.85pt;margin-top:470.15pt;height:8.05pt;width:7.5pt;rotation:262144f;z-index:251718656;mso-width-relative:page;mso-height-relative:page;" fillcolor="#FF0000" filled="t" stroked="t" coordsize="21600,21600" o:gfxdata="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F9tTNYAAAAL&#10;AQAADwAAAAAAAAABACAAAAAiAAAAZHJzL2Rvd25yZXYueG1sUEsBAhQAFAAAAAgAh07iQLUF0E4e&#10;AgAAWAQAAA4AAAAAAAAAAQAgAAAAJQEAAGRycy9lMm9Eb2MueG1sUEsFBgAAAAAGAAYAWQEAALUF&#10;AAAAAA==&#10;">
                <v:fill on="t" focussize="0,0"/>
                <v:stroke color="#000000" joinstyle="round"/>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19680" behindDoc="0" locked="0" layoutInCell="1" allowOverlap="1">
                <wp:simplePos x="0" y="0"/>
                <wp:positionH relativeFrom="column">
                  <wp:posOffset>1028065</wp:posOffset>
                </wp:positionH>
                <wp:positionV relativeFrom="paragraph">
                  <wp:posOffset>5471160</wp:posOffset>
                </wp:positionV>
                <wp:extent cx="1038860" cy="313690"/>
                <wp:effectExtent l="7620" t="4445" r="20320" b="272415"/>
                <wp:wrapNone/>
                <wp:docPr id="152" name="矩形标注 224"/>
                <wp:cNvGraphicFramePr/>
                <a:graphic xmlns:a="http://schemas.openxmlformats.org/drawingml/2006/main">
                  <a:graphicData uri="http://schemas.microsoft.com/office/word/2010/wordprocessingShape">
                    <wps:wsp>
                      <wps:cNvSpPr/>
                      <wps:spPr>
                        <a:xfrm>
                          <a:off x="0" y="0"/>
                          <a:ext cx="1039130" cy="313658"/>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0CCA87DC">
                            <w:pPr>
                              <w:rPr>
                                <w:sz w:val="24"/>
                              </w:rPr>
                            </w:pPr>
                            <w:r>
                              <w:rPr>
                                <w:rFonts w:hint="eastAsia" w:eastAsia="宋体"/>
                                <w:sz w:val="24"/>
                              </w:rPr>
                              <w:t>项目所在地</w:t>
                            </w:r>
                          </w:p>
                        </w:txbxContent>
                      </wps:txbx>
                      <wps:bodyPr vert="horz" wrap="square" anchor="t" anchorCtr="0" upright="1"/>
                    </wps:wsp>
                  </a:graphicData>
                </a:graphic>
              </wp:anchor>
            </w:drawing>
          </mc:Choice>
          <mc:Fallback>
            <w:pict>
              <v:shape id="矩形标注 224" o:spid="_x0000_s1026" o:spt="61" type="#_x0000_t61" style="position:absolute;left:0pt;margin-left:80.95pt;margin-top:430.8pt;height:24.7pt;width:81.8pt;z-index:251719680;mso-width-relative:page;mso-height-relative:page;" fillcolor="#FFFFFF" filled="t" stroked="t" coordsize="21600,21600" o:gfxdata="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pY&#10;WFzZAAAACwEAAA8AAAAAAAAAAQAgAAAAIgAAAGRycy9kb3ducmV2LnhtbFBLAQIUABQAAAAIAIdO&#10;4kBc+no6WwIAAMUEAAAOAAAAAAAAAAEAIAAAACgBAABkcnMvZTJvRG9jLnhtbFBLBQYAAAAABgAG&#10;AFkBAAD1BQAAAAA=&#10;" adj="167,38696">
                <v:fill on="t" focussize="0,0"/>
                <v:stroke color="#000000" joinstyle="miter"/>
                <v:imagedata o:title=""/>
                <o:lock v:ext="edit" aspectratio="f"/>
                <v:textbox>
                  <w:txbxContent>
                    <w:p w14:paraId="0CCA87DC">
                      <w:pPr>
                        <w:rPr>
                          <w:sz w:val="24"/>
                        </w:rPr>
                      </w:pPr>
                      <w:r>
                        <w:rPr>
                          <w:rFonts w:hint="eastAsia" w:eastAsia="宋体"/>
                          <w:sz w:val="24"/>
                        </w:rPr>
                        <w:t>项目所在地</w:t>
                      </w:r>
                    </w:p>
                  </w:txbxContent>
                </v:textbox>
              </v:shape>
            </w:pict>
          </mc:Fallback>
        </mc:AlternateContent>
      </w:r>
      <w:r>
        <w:rPr>
          <w:rFonts w:hint="default" w:ascii="Times New Roman" w:hAnsi="Times New Roman" w:eastAsia="宋体" w:cs="Times New Roman"/>
          <w:color w:val="000000" w:themeColor="text1"/>
          <w:sz w:val="24"/>
          <w:highlight w:val="none"/>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758190</wp:posOffset>
                </wp:positionH>
                <wp:positionV relativeFrom="paragraph">
                  <wp:posOffset>3131820</wp:posOffset>
                </wp:positionV>
                <wp:extent cx="998855" cy="1062990"/>
                <wp:effectExtent l="4445" t="5080" r="6350" b="17780"/>
                <wp:wrapNone/>
                <wp:docPr id="82" name="矩形 405"/>
                <wp:cNvGraphicFramePr/>
                <a:graphic xmlns:a="http://schemas.openxmlformats.org/drawingml/2006/main">
                  <a:graphicData uri="http://schemas.microsoft.com/office/word/2010/wordprocessingShape">
                    <wps:wsp>
                      <wps:cNvSpPr/>
                      <wps:spPr>
                        <a:xfrm>
                          <a:off x="0" y="0"/>
                          <a:ext cx="998855" cy="1062990"/>
                        </a:xfrm>
                        <a:prstGeom prst="rect">
                          <a:avLst/>
                        </a:prstGeom>
                        <a:no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405" o:spid="_x0000_s1026" o:spt="1" style="position:absolute;left:0pt;margin-left:59.7pt;margin-top:246.6pt;height:83.7pt;width:78.65pt;z-index:251680768;mso-width-relative:page;mso-height-relative:page;" filled="f" stroked="t" coordsize="21600,21600" o:gfxdata="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Zwvv/ZAAAACwEAAA8A&#10;AAAAAAAAAQAgAAAAIgAAAGRycy9kb3ducmV2LnhtbFBLAQIUABQAAAAIAIdO4kD0jB1HFgIAACsE&#10;AAAOAAAAAAAAAAEAIAAAACgBAABkcnMvZTJvRG9jLnhtbFBLBQYAAAAABgAGAFkBAACwBQAAAAA=&#10;">
                <v:fill on="f" focussize="0,0"/>
                <v:stroke color="#000000" joinstyle="miter"/>
                <v:imagedata o:title=""/>
                <o:lock v:ext="edit" aspectratio="f"/>
              </v:rect>
            </w:pict>
          </mc:Fallback>
        </mc:AlternateContent>
      </w:r>
      <w:r>
        <w:rPr>
          <w:rFonts w:hint="default"/>
          <w:b/>
          <w:bCs/>
          <w:color w:val="000000" w:themeColor="text1"/>
          <w:sz w:val="36"/>
          <w:szCs w:val="36"/>
          <w:highlight w:val="none"/>
          <w:lang w:val="en-US" w:eastAsia="zh-CN"/>
          <w14:textFill>
            <w14:solidFill>
              <w14:schemeClr w14:val="tx1"/>
            </w14:solidFill>
          </w14:textFill>
        </w:rPr>
        <w:drawing>
          <wp:anchor distT="0" distB="0" distL="114300" distR="114300" simplePos="0" relativeHeight="251717632" behindDoc="0" locked="0" layoutInCell="1" allowOverlap="1">
            <wp:simplePos x="0" y="0"/>
            <wp:positionH relativeFrom="column">
              <wp:posOffset>95885</wp:posOffset>
            </wp:positionH>
            <wp:positionV relativeFrom="paragraph">
              <wp:posOffset>5375910</wp:posOffset>
            </wp:positionV>
            <wp:extent cx="2289175" cy="2218690"/>
            <wp:effectExtent l="9525" t="9525" r="25400" b="19685"/>
            <wp:wrapNone/>
            <wp:docPr id="126" name="图片 126" descr="dc9c5bdf-f348-4cb5-89ab-571b3308b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dc9c5bdf-f348-4cb5-89ab-571b3308bed6"/>
                    <pic:cNvPicPr>
                      <a:picLocks noChangeAspect="1"/>
                    </pic:cNvPicPr>
                  </pic:nvPicPr>
                  <pic:blipFill>
                    <a:blip r:embed="rId27"/>
                    <a:stretch>
                      <a:fillRect/>
                    </a:stretch>
                  </pic:blipFill>
                  <pic:spPr>
                    <a:xfrm>
                      <a:off x="0" y="0"/>
                      <a:ext cx="2289175" cy="2218690"/>
                    </a:xfrm>
                    <a:prstGeom prst="rect">
                      <a:avLst/>
                    </a:prstGeom>
                    <a:ln>
                      <a:solidFill>
                        <a:schemeClr val="tx1"/>
                      </a:solidFill>
                    </a:ln>
                  </pic:spPr>
                </pic:pic>
              </a:graphicData>
            </a:graphic>
          </wp:anchor>
        </w:drawing>
      </w:r>
      <w:r>
        <w:rPr>
          <w:rFonts w:hint="default" w:ascii="Times New Roman" w:hAnsi="Times New Roman" w:eastAsia="宋体" w:cs="Times New Roman"/>
          <w:color w:val="000000" w:themeColor="text1"/>
          <w:sz w:val="21"/>
          <w:highlight w:val="none"/>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1240790</wp:posOffset>
                </wp:positionH>
                <wp:positionV relativeFrom="paragraph">
                  <wp:posOffset>4194810</wp:posOffset>
                </wp:positionV>
                <wp:extent cx="17145" cy="1181100"/>
                <wp:effectExtent l="36830" t="0" r="22225" b="0"/>
                <wp:wrapNone/>
                <wp:docPr id="48" name="直线 66"/>
                <wp:cNvGraphicFramePr/>
                <a:graphic xmlns:a="http://schemas.openxmlformats.org/drawingml/2006/main">
                  <a:graphicData uri="http://schemas.microsoft.com/office/word/2010/wordprocessingShape">
                    <wps:wsp>
                      <wps:cNvCnPr>
                        <a:stCxn id="82" idx="2"/>
                        <a:endCxn id="126" idx="0"/>
                      </wps:cNvCnPr>
                      <wps:spPr>
                        <a:xfrm flipH="1">
                          <a:off x="0" y="0"/>
                          <a:ext cx="17145" cy="11811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66" o:spid="_x0000_s1026" o:spt="20" style="position:absolute;left:0pt;flip:x;margin-left:97.7pt;margin-top:330.3pt;height:93pt;width:1.35pt;z-index:251668480;mso-width-relative:page;mso-height-relative:page;" filled="f" stroked="t" coordsize="21600,21600" o:gfxdata="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GCyRX2gAAAAsBAAAP&#10;AAAAAAAAAAEAIAAAACIAAABkcnMvZG93bnJldi54bWxQSwECFAAUAAAACACHTuJAosJinxYCAAAy&#10;BAAADgAAAAAAAAABACAAAAApAQAAZHJzL2Uyb0RvYy54bWxQSwUGAAAAAAYABgBZAQAAsQUAAAAA&#10;">
                <v:fill on="f" focussize="0,0"/>
                <v:stroke color="#000000" joinstyle="round" endarrow="block"/>
                <v:imagedata o:title=""/>
                <o:lock v:ext="edit" aspectratio="f"/>
              </v:line>
            </w:pict>
          </mc:Fallback>
        </mc:AlternateContent>
      </w:r>
      <w:r>
        <w:rPr>
          <w:color w:val="000000" w:themeColor="text1"/>
          <w14:textFill>
            <w14:solidFill>
              <w14:schemeClr w14:val="tx1"/>
            </w14:solidFill>
          </w14:textFill>
        </w:rPr>
        <w:drawing>
          <wp:inline distT="0" distB="0" distL="114300" distR="114300">
            <wp:extent cx="5611495" cy="8126095"/>
            <wp:effectExtent l="0" t="0" r="8255" b="8255"/>
            <wp:docPr id="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
                    <pic:cNvPicPr>
                      <a:picLocks noChangeAspect="1"/>
                    </pic:cNvPicPr>
                  </pic:nvPicPr>
                  <pic:blipFill>
                    <a:blip r:embed="rId28"/>
                    <a:stretch>
                      <a:fillRect/>
                    </a:stretch>
                  </pic:blipFill>
                  <pic:spPr>
                    <a:xfrm>
                      <a:off x="0" y="0"/>
                      <a:ext cx="5611495" cy="8126095"/>
                    </a:xfrm>
                    <a:prstGeom prst="rect">
                      <a:avLst/>
                    </a:prstGeom>
                    <a:noFill/>
                    <a:ln>
                      <a:noFill/>
                    </a:ln>
                  </pic:spPr>
                </pic:pic>
              </a:graphicData>
            </a:graphic>
          </wp:inline>
        </w:drawing>
      </w:r>
      <w:r>
        <w:rPr>
          <w:rFonts w:hint="default" w:ascii="Times New Roman" w:hAnsi="Times New Roman" w:eastAsia="宋体" w:cs="Times New Roman"/>
          <w:b/>
          <w:color w:val="000000" w:themeColor="text1"/>
          <w:szCs w:val="21"/>
          <w:highlight w:val="none"/>
          <w14:textFill>
            <w14:solidFill>
              <w14:schemeClr w14:val="tx1"/>
            </w14:solidFill>
          </w14:textFill>
        </w:rPr>
        <w:drawing>
          <wp:anchor distT="0" distB="0" distL="114300" distR="114300" simplePos="0" relativeHeight="251669504" behindDoc="0" locked="0" layoutInCell="1" allowOverlap="1">
            <wp:simplePos x="0" y="0"/>
            <wp:positionH relativeFrom="column">
              <wp:posOffset>5586730</wp:posOffset>
            </wp:positionH>
            <wp:positionV relativeFrom="paragraph">
              <wp:posOffset>300355</wp:posOffset>
            </wp:positionV>
            <wp:extent cx="752475" cy="1006475"/>
            <wp:effectExtent l="0" t="0" r="0" b="0"/>
            <wp:wrapNone/>
            <wp:docPr id="4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6.png"/>
                    <pic:cNvPicPr>
                      <a:picLocks noChangeAspect="1"/>
                    </pic:cNvPicPr>
                  </pic:nvPicPr>
                  <pic:blipFill>
                    <a:blip r:embed="rId25"/>
                    <a:stretch>
                      <a:fillRect/>
                    </a:stretch>
                  </pic:blipFill>
                  <pic:spPr>
                    <a:xfrm>
                      <a:off x="0" y="0"/>
                      <a:ext cx="752475" cy="1006475"/>
                    </a:xfrm>
                    <a:prstGeom prst="rect">
                      <a:avLst/>
                    </a:prstGeom>
                    <a:noFill/>
                    <a:ln>
                      <a:noFill/>
                    </a:ln>
                  </pic:spPr>
                </pic:pic>
              </a:graphicData>
            </a:graphic>
          </wp:anchor>
        </w:drawing>
      </w:r>
      <w:r>
        <w:rPr>
          <w:rFonts w:hint="default" w:ascii="Times New Roman" w:hAnsi="Times New Roman" w:eastAsia="宋体" w:cs="Times New Roman"/>
          <w:color w:val="000000" w:themeColor="text1"/>
          <w:highlight w:val="none"/>
          <w:lang w:eastAsia="zh-CN"/>
          <w14:textFill>
            <w14:solidFill>
              <w14:schemeClr w14:val="tx1"/>
            </w14:solidFill>
          </w14:textFill>
        </w:rPr>
        <w:drawing>
          <wp:anchor distT="0" distB="0" distL="114300" distR="114300" simplePos="0" relativeHeight="251679744" behindDoc="0" locked="0" layoutInCell="1" allowOverlap="1">
            <wp:simplePos x="0" y="0"/>
            <wp:positionH relativeFrom="column">
              <wp:posOffset>1269365</wp:posOffset>
            </wp:positionH>
            <wp:positionV relativeFrom="paragraph">
              <wp:posOffset>-7747000</wp:posOffset>
            </wp:positionV>
            <wp:extent cx="3076575" cy="2133600"/>
            <wp:effectExtent l="0" t="0" r="0" b="0"/>
            <wp:wrapNone/>
            <wp:docPr id="81" name="图片 404" descr="3943bf1a3064f1105a8491f2ad694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04" descr="3943bf1a3064f1105a8491f2ad694e5"/>
                    <pic:cNvPicPr>
                      <a:picLocks noChangeAspect="1"/>
                    </pic:cNvPicPr>
                  </pic:nvPicPr>
                  <pic:blipFill>
                    <a:blip r:embed="rId29"/>
                    <a:stretch>
                      <a:fillRect/>
                    </a:stretch>
                  </pic:blipFill>
                  <pic:spPr>
                    <a:xfrm>
                      <a:off x="0" y="0"/>
                      <a:ext cx="3076575" cy="2133600"/>
                    </a:xfrm>
                    <a:prstGeom prst="rect">
                      <a:avLst/>
                    </a:prstGeom>
                    <a:noFill/>
                    <a:ln>
                      <a:noFill/>
                    </a:ln>
                  </pic:spPr>
                </pic:pic>
              </a:graphicData>
            </a:graphic>
          </wp:anchor>
        </w:drawing>
      </w:r>
    </w:p>
    <w:p w14:paraId="0BD14762">
      <w:pPr>
        <w:shd w:val="clear"/>
        <w:bidi w:val="0"/>
        <w:jc w:val="center"/>
        <w:rPr>
          <w:rFonts w:hint="default"/>
          <w:b/>
          <w:bCs/>
          <w:color w:val="000000" w:themeColor="text1"/>
          <w:sz w:val="36"/>
          <w:szCs w:val="36"/>
          <w:highlight w:val="none"/>
          <w:lang w:val="en-US" w:eastAsia="zh-CN"/>
          <w14:textFill>
            <w14:solidFill>
              <w14:schemeClr w14:val="tx1"/>
            </w14:solidFill>
          </w14:textFill>
        </w:rPr>
      </w:pPr>
      <w:bookmarkStart w:id="16" w:name="_Toc7002"/>
      <w:r>
        <w:rPr>
          <w:rFonts w:hint="default"/>
          <w:b/>
          <w:bCs/>
          <w:color w:val="000000" w:themeColor="text1"/>
          <w:sz w:val="36"/>
          <w:szCs w:val="36"/>
          <w:highlight w:val="none"/>
          <w:lang w:val="en-US" w:eastAsia="zh-CN"/>
          <w14:textFill>
            <w14:solidFill>
              <w14:schemeClr w14:val="tx1"/>
            </w14:solidFill>
          </w14:textFill>
        </w:rPr>
        <w:t>附图2项目地理位置图</w:t>
      </w:r>
      <w:bookmarkEnd w:id="16"/>
    </w:p>
    <w:p w14:paraId="62D9D773">
      <w:pPr>
        <w:shd w:val="clear"/>
        <w:rPr>
          <w:rFonts w:hint="default" w:ascii="Times New Roman" w:hAnsi="Times New Roman" w:eastAsia="宋体" w:cs="Times New Roman"/>
          <w:color w:val="000000" w:themeColor="text1"/>
          <w:highlight w:val="none"/>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p>
    <w:p w14:paraId="1C2E2598">
      <w:pPr>
        <w:pStyle w:val="48"/>
        <w:keepNext w:val="0"/>
        <w:keepLines w:val="0"/>
        <w:pageBreakBefore w:val="0"/>
        <w:widowControl w:val="0"/>
        <w:shd w:val="clear"/>
        <w:kinsoku/>
        <w:wordWrap w:val="0"/>
        <w:overflowPunct w:val="0"/>
        <w:topLinePunct/>
        <w:autoSpaceDE w:val="0"/>
        <w:autoSpaceDN w:val="0"/>
        <w:bidi w:val="0"/>
        <w:adjustRightInd w:val="0"/>
        <w:snapToGrid/>
        <w:jc w:val="center"/>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6680835</wp:posOffset>
                </wp:positionH>
                <wp:positionV relativeFrom="paragraph">
                  <wp:posOffset>3195955</wp:posOffset>
                </wp:positionV>
                <wp:extent cx="612140" cy="490855"/>
                <wp:effectExtent l="0" t="0" r="0" b="0"/>
                <wp:wrapNone/>
                <wp:docPr id="51" name="文本框 71"/>
                <wp:cNvGraphicFramePr/>
                <a:graphic xmlns:a="http://schemas.openxmlformats.org/drawingml/2006/main">
                  <a:graphicData uri="http://schemas.microsoft.com/office/word/2010/wordprocessingShape">
                    <wps:wsp>
                      <wps:cNvSpPr txBox="1"/>
                      <wps:spPr>
                        <a:xfrm>
                          <a:off x="0" y="0"/>
                          <a:ext cx="612140" cy="490855"/>
                        </a:xfrm>
                        <a:prstGeom prst="rect">
                          <a:avLst/>
                        </a:prstGeom>
                        <a:noFill/>
                        <a:ln>
                          <a:noFill/>
                        </a:ln>
                      </wps:spPr>
                      <wps:txbx>
                        <w:txbxContent>
                          <w:p w14:paraId="321EA63B">
                            <w:pPr>
                              <w:rPr>
                                <w:rFonts w:hint="default" w:eastAsia="宋体"/>
                                <w:b/>
                                <w:bCs/>
                                <w:color w:val="FFFF00"/>
                                <w:sz w:val="21"/>
                                <w:szCs w:val="21"/>
                                <w:lang w:val="en-US" w:eastAsia="zh-CN"/>
                              </w:rPr>
                            </w:pPr>
                            <w:r>
                              <w:rPr>
                                <w:rFonts w:hint="eastAsia"/>
                                <w:b/>
                                <w:bCs/>
                                <w:color w:val="FFFF00"/>
                                <w:sz w:val="21"/>
                                <w:szCs w:val="21"/>
                                <w:lang w:val="en-US" w:eastAsia="zh-CN"/>
                              </w:rPr>
                              <w:t>项目所在地</w:t>
                            </w:r>
                          </w:p>
                        </w:txbxContent>
                      </wps:txbx>
                      <wps:bodyPr vert="horz" wrap="square" anchor="t" anchorCtr="0" upright="1"/>
                    </wps:wsp>
                  </a:graphicData>
                </a:graphic>
              </wp:anchor>
            </w:drawing>
          </mc:Choice>
          <mc:Fallback>
            <w:pict>
              <v:shape id="文本框 71" o:spid="_x0000_s1026" o:spt="202" type="#_x0000_t202" style="position:absolute;left:0pt;margin-left:526.05pt;margin-top:251.65pt;height:38.65pt;width:48.2pt;z-index:251670528;mso-width-relative:page;mso-height-relative:page;" filled="f" stroked="f" coordsize="21600,21600" o:gfxdata="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LQ5YKNkAAAANAQAADwAAAAAAAAABACAAAAAiAAAA&#10;ZHJzL2Rvd25yZXYueG1sUEsBAhQAFAAAAAgAh07iQAqS5wvNAQAAggMAAA4AAAAAAAAAAQAgAAAA&#10;KAEAAGRycy9lMm9Eb2MueG1sUEsFBgAAAAAGAAYAWQEAAGcFAAAAAA==&#10;">
                <v:fill on="f" focussize="0,0"/>
                <v:stroke on="f"/>
                <v:imagedata o:title=""/>
                <o:lock v:ext="edit" aspectratio="f"/>
                <v:textbox>
                  <w:txbxContent>
                    <w:p w14:paraId="321EA63B">
                      <w:pPr>
                        <w:rPr>
                          <w:rFonts w:hint="default" w:eastAsia="宋体"/>
                          <w:b/>
                          <w:bCs/>
                          <w:color w:val="FFFF00"/>
                          <w:sz w:val="21"/>
                          <w:szCs w:val="21"/>
                          <w:lang w:val="en-US" w:eastAsia="zh-CN"/>
                        </w:rPr>
                      </w:pPr>
                      <w:r>
                        <w:rPr>
                          <w:rFonts w:hint="eastAsia"/>
                          <w:b/>
                          <w:bCs/>
                          <w:color w:val="FFFF00"/>
                          <w:sz w:val="21"/>
                          <w:szCs w:val="21"/>
                          <w:lang w:val="en-US" w:eastAsia="zh-CN"/>
                        </w:rPr>
                        <w:t>项目所在地</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30944" behindDoc="0" locked="0" layoutInCell="1" allowOverlap="1">
                <wp:simplePos x="0" y="0"/>
                <wp:positionH relativeFrom="column">
                  <wp:posOffset>6456045</wp:posOffset>
                </wp:positionH>
                <wp:positionV relativeFrom="paragraph">
                  <wp:posOffset>2894965</wp:posOffset>
                </wp:positionV>
                <wp:extent cx="420370" cy="324485"/>
                <wp:effectExtent l="113665" t="66675" r="114300" b="84455"/>
                <wp:wrapNone/>
                <wp:docPr id="109" name="矩形 109"/>
                <wp:cNvGraphicFramePr/>
                <a:graphic xmlns:a="http://schemas.openxmlformats.org/drawingml/2006/main">
                  <a:graphicData uri="http://schemas.microsoft.com/office/word/2010/wordprocessingShape">
                    <wps:wsp>
                      <wps:cNvSpPr/>
                      <wps:spPr>
                        <a:xfrm rot="2760000">
                          <a:off x="6291580" y="3192145"/>
                          <a:ext cx="420370" cy="324485"/>
                        </a:xfrm>
                        <a:prstGeom prst="rect">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08.35pt;margin-top:227.95pt;height:25.55pt;width:33.1pt;rotation:3014656f;z-index:251730944;v-text-anchor:middle;mso-width-relative:page;mso-height-relative:page;" filled="f" stroked="t" coordsize="21600,21600" o:gfxdata="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z+Q/jtwAAAANAQAADwAAAAAAAAABACAAAAAiAAAAZHJz&#10;L2Rvd25yZXYueG1sUEsBAhQAFAAAAAgAh07iQGM5HAhyAgAA0QQAAA4AAAAAAAAAAQAgAAAAKwEA&#10;AGRycy9lMm9Eb2MueG1sUEsFBgAAAAAGAAYAWQEAAA8GAAAAAA==&#10;">
                <v:fill on="f" focussize="0,0"/>
                <v:stroke weight="2pt" color="#FFFF00 [2404]" joinstyle="round"/>
                <v:imagedata o:title=""/>
                <o:lock v:ext="edit" aspectratio="f"/>
              </v:rect>
            </w:pict>
          </mc:Fallback>
        </mc:AlternateContent>
      </w:r>
      <w:r>
        <w:rPr>
          <w:rFonts w:hint="default" w:ascii="Times New Roman" w:hAnsi="Times New Roman" w:eastAsia="宋体" w:cs="Times New Roman"/>
          <w:color w:val="000000" w:themeColor="text1"/>
          <w:sz w:val="24"/>
          <w:highlight w:val="none"/>
          <w14:textFill>
            <w14:solidFill>
              <w14:schemeClr w14:val="tx1"/>
            </w14:solidFill>
          </w14:textFill>
        </w:rPr>
        <w:drawing>
          <wp:inline distT="0" distB="0" distL="114300" distR="114300">
            <wp:extent cx="8463915" cy="5537835"/>
            <wp:effectExtent l="0" t="0" r="13335" b="5715"/>
            <wp:docPr id="156" name="图片 156" descr="51e5edc7-93f2-490e-acd1-3f51b8a04b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51e5edc7-93f2-490e-acd1-3f51b8a04bdc"/>
                    <pic:cNvPicPr>
                      <a:picLocks noChangeAspect="1"/>
                    </pic:cNvPicPr>
                  </pic:nvPicPr>
                  <pic:blipFill>
                    <a:blip r:embed="rId30"/>
                    <a:stretch>
                      <a:fillRect/>
                    </a:stretch>
                  </pic:blipFill>
                  <pic:spPr>
                    <a:xfrm>
                      <a:off x="0" y="0"/>
                      <a:ext cx="8463915" cy="5537835"/>
                    </a:xfrm>
                    <a:prstGeom prst="rect">
                      <a:avLst/>
                    </a:prstGeom>
                  </pic:spPr>
                </pic:pic>
              </a:graphicData>
            </a:graphic>
          </wp:inline>
        </w:drawing>
      </w:r>
      <w:r>
        <w:rPr>
          <w:rFonts w:hint="default" w:ascii="Times New Roman" w:hAnsi="Times New Roman" w:cs="Times New Roman"/>
          <w:color w:val="000000" w:themeColor="text1"/>
          <w:highlight w:val="none"/>
          <w14:textFill>
            <w14:solidFill>
              <w14:schemeClr w14:val="tx1"/>
            </w14:solidFill>
          </w14:textFill>
        </w:rPr>
        <w:drawing>
          <wp:anchor distT="0" distB="0" distL="114300" distR="114300" simplePos="0" relativeHeight="251694080" behindDoc="0" locked="0" layoutInCell="1" allowOverlap="1">
            <wp:simplePos x="0" y="0"/>
            <wp:positionH relativeFrom="column">
              <wp:posOffset>7878445</wp:posOffset>
            </wp:positionH>
            <wp:positionV relativeFrom="paragraph">
              <wp:posOffset>493395</wp:posOffset>
            </wp:positionV>
            <wp:extent cx="654050" cy="875665"/>
            <wp:effectExtent l="0" t="0" r="12700" b="635"/>
            <wp:wrapNone/>
            <wp:docPr id="7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6.png"/>
                    <pic:cNvPicPr>
                      <a:picLocks noChangeAspect="1"/>
                    </pic:cNvPicPr>
                  </pic:nvPicPr>
                  <pic:blipFill>
                    <a:blip r:embed="rId25"/>
                    <a:stretch>
                      <a:fillRect/>
                    </a:stretch>
                  </pic:blipFill>
                  <pic:spPr>
                    <a:xfrm>
                      <a:off x="0" y="0"/>
                      <a:ext cx="654050" cy="875665"/>
                    </a:xfrm>
                    <a:prstGeom prst="rect">
                      <a:avLst/>
                    </a:prstGeom>
                    <a:noFill/>
                    <a:ln>
                      <a:noFill/>
                    </a:ln>
                  </pic:spPr>
                </pic:pic>
              </a:graphicData>
            </a:graphic>
          </wp:anchor>
        </w:drawing>
      </w:r>
    </w:p>
    <w:p w14:paraId="0435A4A5">
      <w:pPr>
        <w:shd w:val="clear"/>
        <w:bidi w:val="0"/>
        <w:jc w:val="center"/>
        <w:rPr>
          <w:rFonts w:hint="default"/>
          <w:b/>
          <w:bCs/>
          <w:color w:val="000000" w:themeColor="text1"/>
          <w:sz w:val="36"/>
          <w:szCs w:val="36"/>
          <w:highlight w:val="none"/>
          <w14:textFill>
            <w14:solidFill>
              <w14:schemeClr w14:val="tx1"/>
            </w14:solidFill>
          </w14:textFill>
        </w:rPr>
      </w:pPr>
      <w:bookmarkStart w:id="17" w:name="_Toc25818"/>
      <w:bookmarkStart w:id="18" w:name="_Toc12743"/>
      <w:r>
        <w:rPr>
          <w:rFonts w:hint="default"/>
          <w:b/>
          <w:bCs/>
          <w:color w:val="000000" w:themeColor="text1"/>
          <w:sz w:val="36"/>
          <w:szCs w:val="36"/>
          <w:highlight w:val="none"/>
          <w:lang w:val="en-US" w:eastAsia="zh-CN"/>
          <w14:textFill>
            <w14:solidFill>
              <w14:schemeClr w14:val="tx1"/>
            </w14:solidFill>
          </w14:textFill>
        </w:rPr>
        <w:t>附图3中山市自然资源一图</w:t>
      </w:r>
      <w:r>
        <w:rPr>
          <w:rFonts w:hint="default"/>
          <w:b/>
          <w:bCs/>
          <w:color w:val="000000" w:themeColor="text1"/>
          <w:sz w:val="36"/>
          <w:szCs w:val="36"/>
          <w:highlight w:val="none"/>
          <w14:textFill>
            <w14:solidFill>
              <w14:schemeClr w14:val="tx1"/>
            </w14:solidFill>
          </w14:textFill>
        </w:rPr>
        <w:t>通</w:t>
      </w:r>
      <w:bookmarkEnd w:id="17"/>
    </w:p>
    <w:p w14:paraId="2A523ED4">
      <w:pPr>
        <w:shd w:val="clear"/>
        <w:spacing w:line="219" w:lineRule="auto"/>
        <w:rPr>
          <w:rFonts w:hint="default" w:ascii="Times New Roman" w:hAnsi="Times New Roman" w:eastAsia="宋体" w:cs="Times New Roman"/>
          <w:color w:val="000000" w:themeColor="text1"/>
          <w:sz w:val="24"/>
          <w:szCs w:val="24"/>
          <w:highlight w:val="none"/>
          <w14:textFill>
            <w14:solidFill>
              <w14:schemeClr w14:val="tx1"/>
            </w14:solidFill>
          </w14:textFill>
        </w:rPr>
        <w:sectPr>
          <w:footerReference r:id="rId10" w:type="default"/>
          <w:pgSz w:w="16839" w:h="11906"/>
          <w:pgMar w:top="1012" w:right="1746" w:bottom="957" w:left="1747" w:header="0" w:footer="694" w:gutter="0"/>
          <w:pgNumType w:fmt="decimal"/>
          <w:cols w:space="720" w:num="1"/>
        </w:sectPr>
      </w:pPr>
    </w:p>
    <w:bookmarkEnd w:id="18"/>
    <w:p w14:paraId="221822C6">
      <w:pPr>
        <w:shd w:val="clear"/>
        <w:rPr>
          <w:color w:val="000000" w:themeColor="text1"/>
          <w:sz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drawing>
          <wp:anchor distT="0" distB="0" distL="114300" distR="114300" simplePos="0" relativeHeight="251702272" behindDoc="0" locked="0" layoutInCell="1" allowOverlap="1">
            <wp:simplePos x="0" y="0"/>
            <wp:positionH relativeFrom="column">
              <wp:posOffset>6391275</wp:posOffset>
            </wp:positionH>
            <wp:positionV relativeFrom="paragraph">
              <wp:posOffset>196850</wp:posOffset>
            </wp:positionV>
            <wp:extent cx="752475" cy="1006475"/>
            <wp:effectExtent l="240030" t="122555" r="245745" b="128270"/>
            <wp:wrapNone/>
            <wp:docPr id="3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6.png"/>
                    <pic:cNvPicPr>
                      <a:picLocks noChangeAspect="1"/>
                    </pic:cNvPicPr>
                  </pic:nvPicPr>
                  <pic:blipFill>
                    <a:blip r:embed="rId25"/>
                    <a:stretch>
                      <a:fillRect/>
                    </a:stretch>
                  </pic:blipFill>
                  <pic:spPr>
                    <a:xfrm rot="19080000">
                      <a:off x="0" y="0"/>
                      <a:ext cx="752475" cy="1006475"/>
                    </a:xfrm>
                    <a:prstGeom prst="rect">
                      <a:avLst/>
                    </a:prstGeom>
                    <a:noFill/>
                    <a:ln>
                      <a:noFill/>
                    </a:ln>
                  </pic:spPr>
                </pic:pic>
              </a:graphicData>
            </a:graphic>
          </wp:anchor>
        </w:drawing>
      </w:r>
      <w:r>
        <w:rPr>
          <w:color w:val="000000" w:themeColor="text1"/>
          <w:sz w:val="21"/>
          <w14:textFill>
            <w14:solidFill>
              <w14:schemeClr w14:val="tx1"/>
            </w14:solidFill>
          </w14:textFill>
        </w:rPr>
        <mc:AlternateContent>
          <mc:Choice Requires="wps">
            <w:drawing>
              <wp:anchor distT="0" distB="0" distL="114300" distR="114300" simplePos="0" relativeHeight="251735040" behindDoc="0" locked="0" layoutInCell="1" allowOverlap="1">
                <wp:simplePos x="0" y="0"/>
                <wp:positionH relativeFrom="column">
                  <wp:posOffset>3853815</wp:posOffset>
                </wp:positionH>
                <wp:positionV relativeFrom="paragraph">
                  <wp:posOffset>1718310</wp:posOffset>
                </wp:positionV>
                <wp:extent cx="152400" cy="152400"/>
                <wp:effectExtent l="12700" t="12700" r="25400" b="25400"/>
                <wp:wrapNone/>
                <wp:docPr id="5" name="同心圆 5"/>
                <wp:cNvGraphicFramePr/>
                <a:graphic xmlns:a="http://schemas.openxmlformats.org/drawingml/2006/main">
                  <a:graphicData uri="http://schemas.microsoft.com/office/word/2010/wordprocessingShape">
                    <wps:wsp>
                      <wps:cNvSpPr/>
                      <wps:spPr>
                        <a:xfrm>
                          <a:off x="5457190" y="2360930"/>
                          <a:ext cx="152400" cy="152400"/>
                        </a:xfrm>
                        <a:prstGeom prst="donut">
                          <a:avLst/>
                        </a:prstGeom>
                        <a:noFill/>
                        <a:ln>
                          <a:solidFill>
                            <a:schemeClr val="accent6">
                              <a:lumMod val="75000"/>
                            </a:scheme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margin-left:303.45pt;margin-top:135.3pt;height:12pt;width:12pt;z-index:251735040;v-text-anchor:middle;mso-width-relative:page;mso-height-relative:page;" filled="f" stroked="t" coordsize="21600,21600" o:gfxdata="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&#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kY4Pp1QAAAAsBAAAPAAAAAAAAAAEAIAAAACIAAABk&#10;cnMvZG93bnJldi54bWxQSwECFAAUAAAACACHTuJAQW+Lw3sCAADlBAAADgAAAAAAAAABACAAAAAk&#10;AQAAZHJzL2Uyb0RvYy54bWxQSwUGAAAAAAYABgBZAQAAEQYAAAAA&#10;" adj="5400">
                <v:fill on="f" focussize="0,0"/>
                <v:stroke weight="2pt" color="#E46C0A [2409]" joinstyle="round"/>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27872" behindDoc="0" locked="0" layoutInCell="1" allowOverlap="1">
                <wp:simplePos x="0" y="0"/>
                <wp:positionH relativeFrom="column">
                  <wp:posOffset>6916420</wp:posOffset>
                </wp:positionH>
                <wp:positionV relativeFrom="paragraph">
                  <wp:posOffset>4005580</wp:posOffset>
                </wp:positionV>
                <wp:extent cx="358775" cy="76200"/>
                <wp:effectExtent l="9525" t="9525" r="12700" b="9525"/>
                <wp:wrapNone/>
                <wp:docPr id="106" name="矩形 237"/>
                <wp:cNvGraphicFramePr/>
                <a:graphic xmlns:a="http://schemas.openxmlformats.org/drawingml/2006/main">
                  <a:graphicData uri="http://schemas.microsoft.com/office/word/2010/wordprocessingShape">
                    <wps:wsp>
                      <wps:cNvSpPr/>
                      <wps:spPr>
                        <a:xfrm>
                          <a:off x="0" y="0"/>
                          <a:ext cx="358775" cy="76200"/>
                        </a:xfrm>
                        <a:prstGeom prst="rect">
                          <a:avLst/>
                        </a:prstGeom>
                        <a:solidFill>
                          <a:srgbClr val="FF0000"/>
                        </a:solidFill>
                        <a:ln w="19050" cap="flat" cmpd="sng">
                          <a:solidFill>
                            <a:srgbClr val="FF0000"/>
                          </a:solidFill>
                          <a:prstDash val="solid"/>
                          <a:miter/>
                          <a:headEnd type="none" w="med" len="med"/>
                          <a:tailEnd type="none" w="med" len="med"/>
                        </a:ln>
                      </wps:spPr>
                      <wps:bodyPr wrap="square" anchor="ctr" anchorCtr="0" upright="1"/>
                    </wps:wsp>
                  </a:graphicData>
                </a:graphic>
              </wp:anchor>
            </w:drawing>
          </mc:Choice>
          <mc:Fallback>
            <w:pict>
              <v:rect id="矩形 237" o:spid="_x0000_s1026" o:spt="1" style="position:absolute;left:0pt;margin-left:544.6pt;margin-top:315.4pt;height:6pt;width:28.25pt;z-index:251727872;v-text-anchor:middle;mso-width-relative:page;mso-height-relative:page;" fillcolor="#FF0000" filled="t" stroked="t" coordsize="21600,21600" o:gfxdata="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wNXlb2wAAAA0BAAAPAAAA&#10;AAAAAAEAIAAAACIAAABkcnMvZG93bnJldi54bWxQSwECFAAUAAAACACHTuJATpFyChICAABKBAAA&#10;DgAAAAAAAAABACAAAAAqAQAAZHJzL2Uyb0RvYy54bWxQSwUGAAAAAAYABgBZAQAArgUAAAAA&#10;">
                <v:fill on="t" focussize="0,0"/>
                <v:stroke weight="1.5pt" color="#FF0000" joinstyle="miter"/>
                <v:imagedata o:title=""/>
                <o:lock v:ext="edit" aspectratio="f"/>
              </v:rect>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28896" behindDoc="0" locked="0" layoutInCell="1" allowOverlap="1">
                <wp:simplePos x="0" y="0"/>
                <wp:positionH relativeFrom="column">
                  <wp:posOffset>6534785</wp:posOffset>
                </wp:positionH>
                <wp:positionV relativeFrom="paragraph">
                  <wp:posOffset>4173855</wp:posOffset>
                </wp:positionV>
                <wp:extent cx="831215" cy="257175"/>
                <wp:effectExtent l="0" t="0" r="0" b="0"/>
                <wp:wrapNone/>
                <wp:docPr id="107" name="文本框 241"/>
                <wp:cNvGraphicFramePr/>
                <a:graphic xmlns:a="http://schemas.openxmlformats.org/drawingml/2006/main">
                  <a:graphicData uri="http://schemas.microsoft.com/office/word/2010/wordprocessingShape">
                    <wps:wsp>
                      <wps:cNvSpPr txBox="1"/>
                      <wps:spPr>
                        <a:xfrm>
                          <a:off x="0" y="0"/>
                          <a:ext cx="831215" cy="257175"/>
                        </a:xfrm>
                        <a:prstGeom prst="rect">
                          <a:avLst/>
                        </a:prstGeom>
                        <a:noFill/>
                        <a:ln w="6350">
                          <a:noFill/>
                        </a:ln>
                      </wps:spPr>
                      <wps:txbx>
                        <w:txbxContent>
                          <w:p w14:paraId="1845B0FB">
                            <w:pPr>
                              <w:ind w:left="210" w:hanging="210" w:hangingChars="100"/>
                            </w:pPr>
                            <w:r>
                              <w:rPr>
                                <w:rFonts w:hint="eastAsia"/>
                                <w:lang w:val="en-US" w:eastAsia="zh-CN"/>
                              </w:rPr>
                              <w:t>0m1m2</w:t>
                            </w:r>
                            <w:r>
                              <w:rPr>
                                <w:rFonts w:hint="eastAsia"/>
                              </w:rPr>
                              <w:t>m</w:t>
                            </w:r>
                          </w:p>
                        </w:txbxContent>
                      </wps:txbx>
                      <wps:bodyPr wrap="square" upright="1"/>
                    </wps:wsp>
                  </a:graphicData>
                </a:graphic>
              </wp:anchor>
            </w:drawing>
          </mc:Choice>
          <mc:Fallback>
            <w:pict>
              <v:shape id="文本框 241" o:spid="_x0000_s1026" o:spt="202" type="#_x0000_t202" style="position:absolute;left:0pt;margin-left:514.55pt;margin-top:328.65pt;height:20.25pt;width:65.45pt;z-index:251728896;mso-width-relative:page;mso-height-relative:page;" filled="f" stroked="f" coordsize="21600,21600" o:gfxdata="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mWRmidwAAAANAQAADwAAAAAAAAABACAAAAAiAAAAZHJzL2Rvd25y&#10;ZXYueG1sUEsBAhQAFAAAAAgAh07iQHuUnOTBAQAAaAMAAA4AAAAAAAAAAQAgAAAAKwEAAGRycy9l&#10;Mm9Eb2MueG1sUEsFBgAAAAAGAAYAWQEAAF4FAAAAAA==&#10;">
                <v:fill on="f" focussize="0,0"/>
                <v:stroke on="f" weight="0.5pt"/>
                <v:imagedata o:title=""/>
                <o:lock v:ext="edit" aspectratio="f"/>
                <v:textbox>
                  <w:txbxContent>
                    <w:p w14:paraId="1845B0FB">
                      <w:pPr>
                        <w:ind w:left="210" w:hanging="210" w:hangingChars="100"/>
                      </w:pPr>
                      <w:r>
                        <w:rPr>
                          <w:rFonts w:hint="eastAsia"/>
                          <w:lang w:val="en-US" w:eastAsia="zh-CN"/>
                        </w:rPr>
                        <w:t>0m1m2</w:t>
                      </w:r>
                      <w:r>
                        <w:rPr>
                          <w:rFonts w:hint="eastAsia"/>
                        </w:rPr>
                        <w:t>m</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26848" behindDoc="0" locked="0" layoutInCell="1" allowOverlap="1">
                <wp:simplePos x="0" y="0"/>
                <wp:positionH relativeFrom="column">
                  <wp:posOffset>6555740</wp:posOffset>
                </wp:positionH>
                <wp:positionV relativeFrom="paragraph">
                  <wp:posOffset>3664585</wp:posOffset>
                </wp:positionV>
                <wp:extent cx="662305" cy="281305"/>
                <wp:effectExtent l="0" t="0" r="0" b="0"/>
                <wp:wrapNone/>
                <wp:docPr id="98" name="文本框 100"/>
                <wp:cNvGraphicFramePr/>
                <a:graphic xmlns:a="http://schemas.openxmlformats.org/drawingml/2006/main">
                  <a:graphicData uri="http://schemas.microsoft.com/office/word/2010/wordprocessingShape">
                    <wps:wsp>
                      <wps:cNvSpPr txBox="1"/>
                      <wps:spPr>
                        <a:xfrm>
                          <a:off x="0" y="0"/>
                          <a:ext cx="662305" cy="281305"/>
                        </a:xfrm>
                        <a:prstGeom prst="rect">
                          <a:avLst/>
                        </a:prstGeom>
                        <a:noFill/>
                        <a:ln w="6350">
                          <a:noFill/>
                        </a:ln>
                      </wps:spPr>
                      <wps:txbx>
                        <w:txbxContent>
                          <w:p w14:paraId="3F2800D6">
                            <w:r>
                              <w:rPr>
                                <w:rFonts w:hint="eastAsia"/>
                              </w:rPr>
                              <w:t>比例尺：</w:t>
                            </w:r>
                          </w:p>
                        </w:txbxContent>
                      </wps:txbx>
                      <wps:bodyPr wrap="square" upright="1"/>
                    </wps:wsp>
                  </a:graphicData>
                </a:graphic>
              </wp:anchor>
            </w:drawing>
          </mc:Choice>
          <mc:Fallback>
            <w:pict>
              <v:shape id="文本框 100" o:spid="_x0000_s1026" o:spt="202" type="#_x0000_t202" style="position:absolute;left:0pt;margin-left:516.2pt;margin-top:288.55pt;height:22.15pt;width:52.15pt;z-index:251726848;mso-width-relative:page;mso-height-relative:page;" filled="f" stroked="f" coordsize="21600,21600" o:gfxdata="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NIcoqXdAAAADQEAAA8AAAAAAAAAAQAgAAAAIgAAAGRycy9kb3ducmV2&#10;LnhtbFBLAQIUABQAAAAIAIdO4kB3O+uJvgEAAGcDAAAOAAAAAAAAAAEAIAAAACwBAABkcnMvZTJv&#10;RG9jLnhtbFBLBQYAAAAABgAGAFkBAABcBQAAAAA=&#10;">
                <v:fill on="f" focussize="0,0"/>
                <v:stroke on="f" weight="0.5pt"/>
                <v:imagedata o:title=""/>
                <o:lock v:ext="edit" aspectratio="f"/>
                <v:textbox>
                  <w:txbxContent>
                    <w:p w14:paraId="3F2800D6">
                      <w:r>
                        <w:rPr>
                          <w:rFonts w:hint="eastAsia"/>
                        </w:rPr>
                        <w:t>比例尺：</w:t>
                      </w:r>
                    </w:p>
                  </w:txbxContent>
                </v:textbox>
              </v:shape>
            </w:pict>
          </mc:Fallback>
        </mc:AlternateContent>
      </w:r>
      <w:r>
        <w:rPr>
          <w:color w:val="000000" w:themeColor="text1"/>
          <w:sz w:val="21"/>
          <w:highlight w:val="none"/>
          <w14:textFill>
            <w14:solidFill>
              <w14:schemeClr w14:val="tx1"/>
            </w14:solidFill>
          </w14:textFill>
        </w:rPr>
        <mc:AlternateContent>
          <mc:Choice Requires="wpc">
            <w:drawing>
              <wp:inline distT="0" distB="0" distL="114300" distR="114300">
                <wp:extent cx="6871970" cy="4811395"/>
                <wp:effectExtent l="0" t="0" r="62230" b="0"/>
                <wp:docPr id="1" name="画布 1"/>
                <wp:cNvGraphicFramePr/>
                <a:graphic xmlns:a="http://schemas.openxmlformats.org/drawingml/2006/main">
                  <a:graphicData uri="http://schemas.microsoft.com/office/word/2010/wordprocessingCanvas">
                    <wpc:wpc>
                      <wpc:bg/>
                      <wpc:whole>
                        <a:ln>
                          <a:noFill/>
                        </a:ln>
                      </wpc:whole>
                      <wps:wsp>
                        <wps:cNvPr id="105" name="矩形 237"/>
                        <wps:cNvSpPr/>
                        <wps:spPr>
                          <a:xfrm>
                            <a:off x="6549390" y="4011295"/>
                            <a:ext cx="358775" cy="71755"/>
                          </a:xfrm>
                          <a:prstGeom prst="rect">
                            <a:avLst/>
                          </a:prstGeom>
                          <a:solidFill>
                            <a:srgbClr val="000000"/>
                          </a:solidFill>
                          <a:ln w="19050" cap="flat" cmpd="sng">
                            <a:solidFill>
                              <a:srgbClr val="000000"/>
                            </a:solidFill>
                            <a:prstDash val="solid"/>
                            <a:miter/>
                            <a:headEnd type="none" w="med" len="med"/>
                            <a:tailEnd type="none" w="med" len="med"/>
                          </a:ln>
                        </wps:spPr>
                        <wps:bodyPr wrap="square" anchor="ctr" anchorCtr="0" upright="1"/>
                      </wps:wsp>
                      <pic:pic xmlns:pic="http://schemas.openxmlformats.org/drawingml/2006/picture">
                        <pic:nvPicPr>
                          <pic:cNvPr id="23" name="图片 3"/>
                          <pic:cNvPicPr>
                            <a:picLocks noChangeAspect="1"/>
                          </pic:cNvPicPr>
                        </pic:nvPicPr>
                        <pic:blipFill>
                          <a:blip r:embed="rId31"/>
                          <a:stretch>
                            <a:fillRect/>
                          </a:stretch>
                        </pic:blipFill>
                        <pic:spPr>
                          <a:xfrm>
                            <a:off x="779780" y="1040130"/>
                            <a:ext cx="4514850" cy="3266440"/>
                          </a:xfrm>
                          <a:prstGeom prst="rect">
                            <a:avLst/>
                          </a:prstGeom>
                          <a:noFill/>
                          <a:ln>
                            <a:noFill/>
                          </a:ln>
                        </pic:spPr>
                      </pic:pic>
                      <wps:wsp>
                        <wps:cNvPr id="24" name="文本框 24"/>
                        <wps:cNvSpPr txBox="1"/>
                        <wps:spPr>
                          <a:xfrm>
                            <a:off x="3785235" y="1919605"/>
                            <a:ext cx="44831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0802AA">
                              <w:pPr>
                                <w:rPr>
                                  <w:rFonts w:hint="default" w:eastAsia="宋体"/>
                                  <w:b/>
                                  <w:bCs/>
                                  <w:color w:val="E46C0A" w:themeColor="accent6" w:themeShade="BF"/>
                                  <w:lang w:val="en-US" w:eastAsia="zh-CN"/>
                                </w:rPr>
                              </w:pPr>
                              <w:r>
                                <w:rPr>
                                  <w:rFonts w:hint="eastAsia"/>
                                  <w:b/>
                                  <w:bCs/>
                                  <w:color w:val="E46C0A" w:themeColor="accent6" w:themeShade="BF"/>
                                  <w:lang w:val="en-US" w:eastAsia="zh-CN"/>
                                </w:rPr>
                                <w:t>G1</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id="_x0000_s1026" o:spid="_x0000_s1026" o:spt="203" style="height:378.85pt;width:541.1pt;" coordsize="6871970,4811395" editas="canvas" o:gfxdata="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">
                <o:lock v:ext="edit" aspectratio="f"/>
                <v:shape id="_x0000_s1026" o:spid="_x0000_s1026" style="position:absolute;left:0;top:0;height:4811395;width:6871970;" filled="f" stroked="f" coordsize="21600,21600" o:gfxdata="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qiYOvrYAAAAhAQAAGQAA&#10;AGRycy9fcmVscy9lMm9Eb2MueG1sLnJlbHOFj0FqwzAQRfeF3EHMPpadRSjFsjeh4G1IDjBIY1nE&#10;GglJLfXtI8gmgUCX8z//PaYf//wqfillF1hB17QgiHUwjq2C6+V7/wkiF2SDa2BSsFGGcdh99Gda&#10;sdRRXlzMolI4K1hKiV9SZr2Qx9yESFybOSSPpZ7Jyoj6hpbkoW2PMj0zYHhhiskoSJPpQFy2WM3/&#10;s8M8O02noH88cXmjkM5XdwVislQUeDIOH2HXRLYgh16+PDbcAV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">
                  <v:fill on="f" focussize="0,0"/>
                  <v:stroke on="f"/>
                  <v:imagedata o:title=""/>
                  <o:lock v:ext="edit" aspectratio="f"/>
                </v:shape>
                <v:rect id="矩形 237" o:spid="_x0000_s1026" o:spt="1" style="position:absolute;left:6549390;top:4011295;height:71755;width:358775;v-text-anchor:middle;" fillcolor="#000000" filled="t" stroked="t" coordsize="21600,21600" o:gfxdata="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8TQ+g9YAAAAG&#10;AQAADwAAAAAAAAABACAAAAAiAAAAZHJzL2Rvd25yZXYueG1sUEsBAhQAFAAAAAgAh07iQJwTbCse&#10;AgAAVgQAAA4AAAAAAAAAAQAgAAAAJQEAAGRycy9lMm9Eb2MueG1sUEsFBgAAAAAGAAYAWQEAALUF&#10;AAAAAA==&#10;">
                  <v:fill on="t" focussize="0,0"/>
                  <v:stroke weight="1.5pt" color="#000000" joinstyle="miter"/>
                  <v:imagedata o:title=""/>
                  <o:lock v:ext="edit" aspectratio="f"/>
                </v:rect>
                <v:shape id="图片 3" o:spid="_x0000_s1026" o:spt="75" type="#_x0000_t75" style="position:absolute;left:779780;top:1040130;height:3266440;width:4514850;" filled="f" o:preferrelative="t" stroked="f" coordsize="21600,21600" o:gfxdata="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">
                  <v:fill on="f" focussize="0,0"/>
                  <v:stroke on="f"/>
                  <v:imagedata r:id="rId31" o:title=""/>
                  <o:lock v:ext="edit" aspectratio="t"/>
                </v:shape>
                <v:shape id="_x0000_s1026" o:spid="_x0000_s1026" o:spt="202" type="#_x0000_t202" style="position:absolute;left:3785235;top:1919605;height:285750;width:448310;" filled="f" stroked="f" coordsize="21600,21600" o:gfxdata="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37r2/XAAAABgEAAA8AAAAAAAAAAQAg&#10;AAAAIgAAAGRycy9kb3ducmV2LnhtbFBLAQIUABQAAAAIAIdO4kDbK8GFSAIAAHMEAAAOAAAAAAAA&#10;AAEAIAAAACYBAABkcnMvZTJvRG9jLnhtbFBLBQYAAAAABgAGAFkBAADgBQAAAAA=&#10;">
                  <v:fill on="f" focussize="0,0"/>
                  <v:stroke on="f" weight="0.5pt"/>
                  <v:imagedata o:title=""/>
                  <o:lock v:ext="edit" aspectratio="f"/>
                  <v:textbox>
                    <w:txbxContent>
                      <w:p w14:paraId="440802AA">
                        <w:pPr>
                          <w:rPr>
                            <w:rFonts w:hint="default" w:eastAsia="宋体"/>
                            <w:b/>
                            <w:bCs/>
                            <w:color w:val="E46C0A" w:themeColor="accent6" w:themeShade="BF"/>
                            <w:lang w:val="en-US" w:eastAsia="zh-CN"/>
                          </w:rPr>
                        </w:pPr>
                        <w:r>
                          <w:rPr>
                            <w:rFonts w:hint="eastAsia"/>
                            <w:b/>
                            <w:bCs/>
                            <w:color w:val="E46C0A" w:themeColor="accent6" w:themeShade="BF"/>
                            <w:lang w:val="en-US" w:eastAsia="zh-CN"/>
                          </w:rPr>
                          <w:t>G1</w:t>
                        </w:r>
                      </w:p>
                    </w:txbxContent>
                  </v:textbox>
                </v:shape>
                <w10:wrap type="none"/>
                <w10:anchorlock/>
              </v:group>
            </w:pict>
          </mc:Fallback>
        </mc:AlternateContent>
      </w:r>
    </w:p>
    <w:p w14:paraId="3E03A588">
      <w:pPr>
        <w:shd w:val="clear"/>
        <w:bidi w:val="0"/>
        <w:jc w:val="center"/>
        <w:rPr>
          <w:rFonts w:hint="default"/>
          <w:b/>
          <w:bCs/>
          <w:color w:val="000000" w:themeColor="text1"/>
          <w:sz w:val="36"/>
          <w:szCs w:val="36"/>
          <w:highlight w:val="none"/>
          <w:lang w:val="en-US"/>
          <w14:textFill>
            <w14:solidFill>
              <w14:schemeClr w14:val="tx1"/>
            </w14:solidFill>
          </w14:textFill>
        </w:rPr>
      </w:pPr>
      <w:bookmarkStart w:id="19" w:name="_Toc26047"/>
      <w:r>
        <w:rPr>
          <w:rFonts w:hint="default"/>
          <w:b/>
          <w:bCs/>
          <w:color w:val="000000" w:themeColor="text1"/>
          <w:sz w:val="36"/>
          <w:szCs w:val="36"/>
          <w:highlight w:val="none"/>
          <w:lang w:val="en-US" w:eastAsia="zh-CN"/>
          <w14:textFill>
            <w14:solidFill>
              <w14:schemeClr w14:val="tx1"/>
            </w14:solidFill>
          </w14:textFill>
        </w:rPr>
        <w:t>附图4</w:t>
      </w:r>
      <w:r>
        <w:rPr>
          <w:rFonts w:hint="eastAsia"/>
          <w:b/>
          <w:bCs/>
          <w:color w:val="000000" w:themeColor="text1"/>
          <w:sz w:val="36"/>
          <w:szCs w:val="36"/>
          <w:highlight w:val="none"/>
          <w:lang w:val="en-US" w:eastAsia="zh-CN"/>
          <w14:textFill>
            <w14:solidFill>
              <w14:schemeClr w14:val="tx1"/>
            </w14:solidFill>
          </w14:textFill>
        </w:rPr>
        <w:t xml:space="preserve"> 项目</w:t>
      </w:r>
      <w:r>
        <w:rPr>
          <w:rFonts w:hint="default"/>
          <w:b/>
          <w:bCs/>
          <w:color w:val="000000" w:themeColor="text1"/>
          <w:sz w:val="36"/>
          <w:szCs w:val="36"/>
          <w:highlight w:val="none"/>
          <w:lang w:val="en-US" w:eastAsia="zh-CN"/>
          <w14:textFill>
            <w14:solidFill>
              <w14:schemeClr w14:val="tx1"/>
            </w14:solidFill>
          </w14:textFill>
        </w:rPr>
        <w:t>平面图</w:t>
      </w:r>
      <w:bookmarkEnd w:id="19"/>
    </w:p>
    <w:p w14:paraId="4EB9189D">
      <w:pPr>
        <w:shd w:val="clear"/>
        <w:spacing w:line="219"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sectPr>
          <w:footerReference r:id="rId11" w:type="default"/>
          <w:pgSz w:w="16839" w:h="11906"/>
          <w:pgMar w:top="1012" w:right="2525" w:bottom="957" w:left="2525" w:header="0" w:footer="694" w:gutter="0"/>
          <w:pgNumType w:fmt="decimal"/>
          <w:cols w:space="720" w:num="1"/>
        </w:sectPr>
      </w:pPr>
    </w:p>
    <w:p w14:paraId="7CEECCF3">
      <w:pPr>
        <w:keepNext w:val="0"/>
        <w:keepLines w:val="0"/>
        <w:pageBreakBefore w:val="0"/>
        <w:widowControl w:val="0"/>
        <w:shd w:val="clea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mc:AlternateContent>
          <mc:Choice Requires="wpg">
            <w:drawing>
              <wp:anchor distT="0" distB="0" distL="114300" distR="114300" simplePos="0" relativeHeight="251671552" behindDoc="0" locked="0" layoutInCell="1" allowOverlap="1">
                <wp:simplePos x="0" y="0"/>
                <wp:positionH relativeFrom="column">
                  <wp:posOffset>3943350</wp:posOffset>
                </wp:positionH>
                <wp:positionV relativeFrom="paragraph">
                  <wp:posOffset>2609215</wp:posOffset>
                </wp:positionV>
                <wp:extent cx="1051560" cy="657225"/>
                <wp:effectExtent l="0" t="0" r="0" b="0"/>
                <wp:wrapNone/>
                <wp:docPr id="54" name="组合 72"/>
                <wp:cNvGraphicFramePr/>
                <a:graphic xmlns:a="http://schemas.openxmlformats.org/drawingml/2006/main">
                  <a:graphicData uri="http://schemas.microsoft.com/office/word/2010/wordprocessingGroup">
                    <wpg:wgp>
                      <wpg:cNvGrpSpPr/>
                      <wpg:grpSpPr>
                        <a:xfrm>
                          <a:off x="0" y="0"/>
                          <a:ext cx="1051560" cy="657225"/>
                          <a:chOff x="9440" y="496529"/>
                          <a:chExt cx="1641" cy="901"/>
                        </a:xfrm>
                      </wpg:grpSpPr>
                      <wps:wsp>
                        <wps:cNvPr id="52" name="矩形标注 224"/>
                        <wps:cNvSpPr/>
                        <wps:spPr>
                          <a:xfrm>
                            <a:off x="9551" y="496529"/>
                            <a:ext cx="1531" cy="430"/>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31E39C4B">
                              <w:pPr>
                                <w:rPr>
                                  <w:sz w:val="24"/>
                                </w:rPr>
                              </w:pPr>
                              <w:r>
                                <w:rPr>
                                  <w:rFonts w:hint="eastAsia" w:eastAsia="宋体"/>
                                  <w:sz w:val="24"/>
                                </w:rPr>
                                <w:t>项目所在地</w:t>
                              </w:r>
                            </w:p>
                          </w:txbxContent>
                        </wps:txbx>
                        <wps:bodyPr vert="horz" wrap="square" anchor="t" anchorCtr="0" upright="1"/>
                      </wps:wsp>
                      <wps:wsp>
                        <wps:cNvPr id="53" name="椭圆 74"/>
                        <wps:cNvSpPr/>
                        <wps:spPr>
                          <a:xfrm>
                            <a:off x="9440" y="497290"/>
                            <a:ext cx="140" cy="140"/>
                          </a:xfrm>
                          <a:prstGeom prst="ellipse">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wpg:wgp>
                  </a:graphicData>
                </a:graphic>
              </wp:anchor>
            </w:drawing>
          </mc:Choice>
          <mc:Fallback>
            <w:pict>
              <v:group id="组合 72" o:spid="_x0000_s1026" o:spt="203" style="position:absolute;left:0pt;margin-left:310.5pt;margin-top:205.45pt;height:51.75pt;width:82.8pt;z-index:251671552;mso-width-relative:page;mso-height-relative:page;" coordorigin="9440,496529" coordsize="1641,901" o:gfxdata="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CYfHsH2wAAAAsBAAAPAAAAAAAAAAEAIAAAACIAAABkcnMv&#10;ZG93bnJldi54bWxQSwECFAAUAAAACACHTuJA1gHhMx0DAABoCAAADgAAAAAAAAABACAAAAAqAQAA&#10;ZHJzL2Uyb0RvYy54bWxQSwUGAAAAAAYABgBZAQAAuQYAAAAA&#10;">
                <o:lock v:ext="edit" aspectratio="f"/>
                <v:shape id="矩形标注 224" o:spid="_x0000_s1026" o:spt="61" type="#_x0000_t61" style="position:absolute;left:9551;top:496529;height:430;width:1531;" fillcolor="#FFFFFF" filled="t" stroked="t" coordsize="21600,21600" o:gfxdata="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YpmG7sAAADb&#10;AAAADwAAAAAAAAABACAAAAAiAAAAZHJzL2Rvd25yZXYueG1sUEsBAhQAFAAAAAgAh07iQDMvBZ47&#10;AAAAOQAAABAAAAAAAAAAAQAgAAAACgEAAGRycy9zaGFwZXhtbC54bWxQSwUGAAAAAAYABgBbAQAA&#10;tAMAAAAA&#10;" adj="167,38696">
                  <v:fill on="t" focussize="0,0"/>
                  <v:stroke color="#000000" joinstyle="miter"/>
                  <v:imagedata o:title=""/>
                  <o:lock v:ext="edit" aspectratio="f"/>
                  <v:textbox>
                    <w:txbxContent>
                      <w:p w14:paraId="31E39C4B">
                        <w:pPr>
                          <w:rPr>
                            <w:sz w:val="24"/>
                          </w:rPr>
                        </w:pPr>
                        <w:r>
                          <w:rPr>
                            <w:rFonts w:hint="eastAsia" w:eastAsia="宋体"/>
                            <w:sz w:val="24"/>
                          </w:rPr>
                          <w:t>项目所在地</w:t>
                        </w:r>
                      </w:p>
                    </w:txbxContent>
                  </v:textbox>
                </v:shape>
                <v:shape id="椭圆 74" o:spid="_x0000_s1026" o:spt="3" type="#_x0000_t3" style="position:absolute;left:9440;top:497290;height:140;width:140;" fillcolor="#FF0000" filled="t" stroked="t" coordsize="21600,21600" o:gfxdata="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9z/DL4A&#10;AADbAAAADwAAAAAAAAABACAAAAAiAAAAZHJzL2Rvd25yZXYueG1sUEsBAhQAFAAAAAgAh07iQDMv&#10;BZ47AAAAOQAAABAAAAAAAAAAAQAgAAAADQEAAGRycy9zaGFwZXhtbC54bWxQSwUGAAAAAAYABgBb&#10;AQAAtwMAAAAA&#10;">
                  <v:fill on="t" focussize="0,0"/>
                  <v:stroke color="#000000" joinstyle="round"/>
                  <v:imagedata o:title=""/>
                  <o:lock v:ext="edit" aspectratio="f"/>
                </v:shape>
              </v:group>
            </w:pict>
          </mc:Fallback>
        </mc:AlternateContent>
      </w:r>
      <w:r>
        <w:rPr>
          <w:rFonts w:hint="default" w:ascii="Times New Roman" w:hAnsi="Times New Roman" w:eastAsia="宋体" w:cs="Times New Roman"/>
          <w:color w:val="000000" w:themeColor="text1"/>
          <w:highlight w:val="none"/>
          <w:lang w:val="en-US" w:eastAsia="zh-CN"/>
          <w14:textFill>
            <w14:solidFill>
              <w14:schemeClr w14:val="tx1"/>
            </w14:solidFill>
          </w14:textFill>
        </w:rPr>
        <w:drawing>
          <wp:inline distT="0" distB="0" distL="114300" distR="114300">
            <wp:extent cx="5641340" cy="7343140"/>
            <wp:effectExtent l="0" t="0" r="16510" b="10160"/>
            <wp:docPr id="135" name="图片 16" descr="中山市大气功能区区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6" descr="中山市大气功能区区划图"/>
                    <pic:cNvPicPr>
                      <a:picLocks noChangeAspect="1"/>
                    </pic:cNvPicPr>
                  </pic:nvPicPr>
                  <pic:blipFill>
                    <a:blip r:embed="rId32"/>
                    <a:stretch>
                      <a:fillRect/>
                    </a:stretch>
                  </pic:blipFill>
                  <pic:spPr>
                    <a:xfrm>
                      <a:off x="0" y="0"/>
                      <a:ext cx="5641340" cy="7343140"/>
                    </a:xfrm>
                    <a:prstGeom prst="rect">
                      <a:avLst/>
                    </a:prstGeom>
                    <a:noFill/>
                    <a:ln>
                      <a:noFill/>
                    </a:ln>
                  </pic:spPr>
                </pic:pic>
              </a:graphicData>
            </a:graphic>
          </wp:inline>
        </w:drawing>
      </w:r>
    </w:p>
    <w:p w14:paraId="0E2C8492">
      <w:pPr>
        <w:shd w:val="clear"/>
        <w:bidi w:val="0"/>
        <w:jc w:val="center"/>
        <w:rPr>
          <w:rFonts w:hint="default"/>
          <w:b/>
          <w:bCs/>
          <w:color w:val="000000" w:themeColor="text1"/>
          <w:sz w:val="36"/>
          <w:szCs w:val="36"/>
          <w:highlight w:val="none"/>
          <w:lang w:val="en-US" w:eastAsia="zh-CN"/>
          <w14:textFill>
            <w14:solidFill>
              <w14:schemeClr w14:val="tx1"/>
            </w14:solidFill>
          </w14:textFill>
        </w:rPr>
      </w:pPr>
      <w:bookmarkStart w:id="20" w:name="_Toc28416"/>
      <w:r>
        <w:rPr>
          <w:rFonts w:hint="default"/>
          <w:b/>
          <w:bCs/>
          <w:color w:val="000000" w:themeColor="text1"/>
          <w:sz w:val="36"/>
          <w:szCs w:val="36"/>
          <w:highlight w:val="none"/>
          <w:lang w:val="en-US" w:eastAsia="zh-CN"/>
          <w14:textFill>
            <w14:solidFill>
              <w14:schemeClr w14:val="tx1"/>
            </w14:solidFill>
          </w14:textFill>
        </w:rPr>
        <w:t>附图5中山市环境空气质量功能区划图</w:t>
      </w:r>
      <w:bookmarkEnd w:id="20"/>
    </w:p>
    <w:p w14:paraId="1B289F89">
      <w:pPr>
        <w:shd w:val="clear"/>
        <w:rPr>
          <w:rFonts w:hint="default" w:ascii="Times New Roman" w:hAnsi="Times New Roman" w:eastAsia="宋体" w:cs="Times New Roman"/>
          <w:color w:val="000000" w:themeColor="text1"/>
          <w:highlight w:val="none"/>
          <w14:textFill>
            <w14:solidFill>
              <w14:schemeClr w14:val="tx1"/>
            </w14:solidFill>
          </w14:textFill>
        </w:rPr>
      </w:pPr>
    </w:p>
    <w:p w14:paraId="68C5A42E">
      <w:pPr>
        <w:keepNext w:val="0"/>
        <w:keepLines w:val="0"/>
        <w:pageBreakBefore w:val="0"/>
        <w:widowControl w:val="0"/>
        <w:shd w:val="clea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mc:AlternateContent>
          <mc:Choice Requires="wpg">
            <w:drawing>
              <wp:anchor distT="0" distB="0" distL="114300" distR="114300" simplePos="0" relativeHeight="251672576" behindDoc="0" locked="0" layoutInCell="1" allowOverlap="1">
                <wp:simplePos x="0" y="0"/>
                <wp:positionH relativeFrom="column">
                  <wp:posOffset>4288155</wp:posOffset>
                </wp:positionH>
                <wp:positionV relativeFrom="paragraph">
                  <wp:posOffset>3148965</wp:posOffset>
                </wp:positionV>
                <wp:extent cx="1042035" cy="572135"/>
                <wp:effectExtent l="0" t="0" r="0" b="0"/>
                <wp:wrapNone/>
                <wp:docPr id="57" name="组合 75"/>
                <wp:cNvGraphicFramePr/>
                <a:graphic xmlns:a="http://schemas.openxmlformats.org/drawingml/2006/main">
                  <a:graphicData uri="http://schemas.microsoft.com/office/word/2010/wordprocessingGroup">
                    <wpg:wgp>
                      <wpg:cNvGrpSpPr/>
                      <wpg:grpSpPr>
                        <a:xfrm>
                          <a:off x="0" y="0"/>
                          <a:ext cx="1042035" cy="572135"/>
                          <a:chOff x="9440" y="496529"/>
                          <a:chExt cx="1641" cy="901"/>
                        </a:xfrm>
                      </wpg:grpSpPr>
                      <wps:wsp>
                        <wps:cNvPr id="55" name="矩形标注 224"/>
                        <wps:cNvSpPr/>
                        <wps:spPr>
                          <a:xfrm>
                            <a:off x="9551" y="496529"/>
                            <a:ext cx="1531" cy="430"/>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440FB8D8">
                              <w:pPr>
                                <w:rPr>
                                  <w:sz w:val="24"/>
                                </w:rPr>
                              </w:pPr>
                              <w:r>
                                <w:rPr>
                                  <w:rFonts w:hint="eastAsia" w:eastAsia="宋体"/>
                                  <w:sz w:val="24"/>
                                </w:rPr>
                                <w:t>项目所在地</w:t>
                              </w:r>
                            </w:p>
                          </w:txbxContent>
                        </wps:txbx>
                        <wps:bodyPr wrap="square" upright="1"/>
                      </wps:wsp>
                      <wps:wsp>
                        <wps:cNvPr id="56" name="椭圆 77"/>
                        <wps:cNvSpPr/>
                        <wps:spPr>
                          <a:xfrm>
                            <a:off x="9440" y="497290"/>
                            <a:ext cx="140" cy="140"/>
                          </a:xfrm>
                          <a:prstGeom prst="ellipse">
                            <a:avLst/>
                          </a:prstGeom>
                          <a:solidFill>
                            <a:srgbClr val="FF0000"/>
                          </a:solidFill>
                          <a:ln w="9525" cap="flat" cmpd="sng">
                            <a:solidFill>
                              <a:srgbClr val="000000"/>
                            </a:solidFill>
                            <a:prstDash val="solid"/>
                            <a:headEnd type="none" w="med" len="med"/>
                            <a:tailEnd type="none" w="med" len="med"/>
                          </a:ln>
                        </wps:spPr>
                        <wps:bodyPr wrap="square" upright="1"/>
                      </wps:wsp>
                    </wpg:wgp>
                  </a:graphicData>
                </a:graphic>
              </wp:anchor>
            </w:drawing>
          </mc:Choice>
          <mc:Fallback>
            <w:pict>
              <v:group id="组合 75" o:spid="_x0000_s1026" o:spt="203" style="position:absolute;left:0pt;margin-left:337.65pt;margin-top:247.95pt;height:45.05pt;width:82.05pt;z-index:251672576;mso-width-relative:page;mso-height-relative:page;" coordorigin="9440,496529" coordsize="1641,901" o:gfxdata="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">
                <o:lock v:ext="edit" aspectratio="f"/>
                <v:shape id="矩形标注 224" o:spid="_x0000_s1026" o:spt="61" type="#_x0000_t61" style="position:absolute;left:9551;top:496529;height:430;width:1531;" fillcolor="#FFFFFF" filled="t" stroked="t" coordsize="21600,21600" o:gfxdata="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5j/m+8AAAA&#10;2wAAAA8AAAAAAAAAAQAgAAAAIgAAAGRycy9kb3ducmV2LnhtbFBLAQIUABQAAAAIAIdO4kAzLwWe&#10;OwAAADkAAAAQAAAAAAAAAAEAIAAAAAsBAABkcnMvc2hhcGV4bWwueG1sUEsFBgAAAAAGAAYAWwEA&#10;ALUDAAAAAA==&#10;" adj="167,38696">
                  <v:fill on="t" focussize="0,0"/>
                  <v:stroke color="#000000" joinstyle="miter"/>
                  <v:imagedata o:title=""/>
                  <o:lock v:ext="edit" aspectratio="f"/>
                  <v:textbox>
                    <w:txbxContent>
                      <w:p w14:paraId="440FB8D8">
                        <w:pPr>
                          <w:rPr>
                            <w:sz w:val="24"/>
                          </w:rPr>
                        </w:pPr>
                        <w:r>
                          <w:rPr>
                            <w:rFonts w:hint="eastAsia" w:eastAsia="宋体"/>
                            <w:sz w:val="24"/>
                          </w:rPr>
                          <w:t>项目所在地</w:t>
                        </w:r>
                      </w:p>
                    </w:txbxContent>
                  </v:textbox>
                </v:shape>
                <v:shape id="椭圆 77" o:spid="_x0000_s1026" o:spt="3" type="#_x0000_t3" style="position:absolute;left:9440;top:497290;height:140;width:140;" fillcolor="#FF0000" filled="t" stroked="t" coordsize="21600,21600" o:gfxdata="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6tclL4A&#10;AADbAAAADwAAAAAAAAABACAAAAAiAAAAZHJzL2Rvd25yZXYueG1sUEsBAhQAFAAAAAgAh07iQDMv&#10;BZ47AAAAOQAAABAAAAAAAAAAAQAgAAAADQEAAGRycy9zaGFwZXhtbC54bWxQSwUGAAAAAAYABgBb&#10;AQAAtwMAAAAA&#10;">
                  <v:fill on="t" focussize="0,0"/>
                  <v:stroke color="#000000" joinstyle="round"/>
                  <v:imagedata o:title=""/>
                  <o:lock v:ext="edit" aspectratio="f"/>
                </v:shape>
              </v:group>
            </w:pict>
          </mc:Fallback>
        </mc:AlternateContent>
      </w:r>
      <w:r>
        <w:rPr>
          <w:rFonts w:hint="default" w:ascii="Times New Roman" w:hAnsi="Times New Roman" w:eastAsia="宋体" w:cs="Times New Roman"/>
          <w:color w:val="000000" w:themeColor="text1"/>
          <w:highlight w:val="none"/>
          <w:lang w:val="en-US" w:eastAsia="zh-CN"/>
          <w14:textFill>
            <w14:solidFill>
              <w14:schemeClr w14:val="tx1"/>
            </w14:solidFill>
          </w14:textFill>
        </w:rPr>
        <w:drawing>
          <wp:inline distT="0" distB="0" distL="114300" distR="114300">
            <wp:extent cx="5615305" cy="7879715"/>
            <wp:effectExtent l="0" t="0" r="0" b="0"/>
            <wp:docPr id="136" name="图片 17" descr="中山市水环境功能区划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7" descr="中山市水环境功能区划示意图"/>
                    <pic:cNvPicPr>
                      <a:picLocks noChangeAspect="1"/>
                    </pic:cNvPicPr>
                  </pic:nvPicPr>
                  <pic:blipFill>
                    <a:blip r:embed="rId33"/>
                    <a:stretch>
                      <a:fillRect/>
                    </a:stretch>
                  </pic:blipFill>
                  <pic:spPr>
                    <a:xfrm>
                      <a:off x="0" y="0"/>
                      <a:ext cx="5615305" cy="7879715"/>
                    </a:xfrm>
                    <a:prstGeom prst="rect">
                      <a:avLst/>
                    </a:prstGeom>
                    <a:noFill/>
                    <a:ln>
                      <a:noFill/>
                    </a:ln>
                  </pic:spPr>
                </pic:pic>
              </a:graphicData>
            </a:graphic>
          </wp:inline>
        </w:drawing>
      </w:r>
    </w:p>
    <w:p w14:paraId="24CBA608">
      <w:pPr>
        <w:keepNext w:val="0"/>
        <w:keepLines w:val="0"/>
        <w:pageBreakBefore w:val="0"/>
        <w:widowControl w:val="0"/>
        <w:shd w:val="clea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22A1522A">
      <w:pPr>
        <w:shd w:val="clear"/>
        <w:bidi w:val="0"/>
        <w:jc w:val="center"/>
        <w:rPr>
          <w:rFonts w:hint="default"/>
          <w:b/>
          <w:bCs/>
          <w:color w:val="000000" w:themeColor="text1"/>
          <w:sz w:val="36"/>
          <w:szCs w:val="36"/>
          <w:highlight w:val="none"/>
          <w:lang w:val="en-US" w:eastAsia="zh-CN"/>
          <w14:textFill>
            <w14:solidFill>
              <w14:schemeClr w14:val="tx1"/>
            </w14:solidFill>
          </w14:textFill>
        </w:rPr>
      </w:pPr>
      <w:bookmarkStart w:id="21" w:name="_Toc23624"/>
      <w:r>
        <w:rPr>
          <w:rFonts w:hint="default"/>
          <w:b/>
          <w:bCs/>
          <w:color w:val="000000" w:themeColor="text1"/>
          <w:sz w:val="36"/>
          <w:szCs w:val="36"/>
          <w:highlight w:val="none"/>
          <w:lang w:val="en-US" w:eastAsia="zh-CN"/>
          <w14:textFill>
            <w14:solidFill>
              <w14:schemeClr w14:val="tx1"/>
            </w14:solidFill>
          </w14:textFill>
        </w:rPr>
        <w:t>附图6中山市水环境功能区划示意</w:t>
      </w:r>
      <w:r>
        <w:rPr>
          <w:rFonts w:hint="default"/>
          <w:b/>
          <w:bCs/>
          <w:color w:val="000000" w:themeColor="text1"/>
          <w:sz w:val="36"/>
          <w:szCs w:val="36"/>
          <w:highlight w:val="none"/>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4286885</wp:posOffset>
                </wp:positionH>
                <wp:positionV relativeFrom="paragraph">
                  <wp:posOffset>11067415</wp:posOffset>
                </wp:positionV>
                <wp:extent cx="635" cy="861695"/>
                <wp:effectExtent l="0" t="0" r="0" b="0"/>
                <wp:wrapNone/>
                <wp:docPr id="47" name="直线 50"/>
                <wp:cNvGraphicFramePr/>
                <a:graphic xmlns:a="http://schemas.openxmlformats.org/drawingml/2006/main">
                  <a:graphicData uri="http://schemas.microsoft.com/office/word/2010/wordprocessingShape">
                    <wps:wsp>
                      <wps:cNvCnPr/>
                      <wps:spPr>
                        <a:xfrm>
                          <a:off x="0" y="0"/>
                          <a:ext cx="635" cy="8616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50" o:spid="_x0000_s1026" o:spt="20" style="position:absolute;left:0pt;margin-left:337.55pt;margin-top:871.45pt;height:67.85pt;width:0.05pt;z-index:251667456;mso-width-relative:page;mso-height-relative:page;" filled="f" stroked="t" coordsize="21600,21600" o:gfxdata="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nWBdU3AAAAA0BAAAPAAAAAAAAAAEAIAAAACIAAABkcnMvZG93bnJldi54bWxQSwEC&#10;FAAUAAAACACHTuJAU5xFZ/ABAADiAwAADgAAAAAAAAABACAAAAArAQAAZHJzL2Uyb0RvYy54bWxQ&#10;SwUGAAAAAAYABgBZAQAAjQUAAAAA&#10;">
                <v:fill on="f" focussize="0,0"/>
                <v:stroke color="#000000" joinstyle="round" endarrow="block"/>
                <v:imagedata o:title=""/>
                <o:lock v:ext="edit" aspectratio="f"/>
              </v:line>
            </w:pict>
          </mc:Fallback>
        </mc:AlternateContent>
      </w:r>
      <w:r>
        <w:rPr>
          <w:rFonts w:hint="default"/>
          <w:b/>
          <w:bCs/>
          <w:color w:val="000000" w:themeColor="text1"/>
          <w:sz w:val="36"/>
          <w:szCs w:val="36"/>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3725545</wp:posOffset>
                </wp:positionH>
                <wp:positionV relativeFrom="paragraph">
                  <wp:posOffset>10039985</wp:posOffset>
                </wp:positionV>
                <wp:extent cx="1163320" cy="1027430"/>
                <wp:effectExtent l="0" t="0" r="0" b="0"/>
                <wp:wrapNone/>
                <wp:docPr id="46" name="矩形 51"/>
                <wp:cNvGraphicFramePr/>
                <a:graphic xmlns:a="http://schemas.openxmlformats.org/drawingml/2006/main">
                  <a:graphicData uri="http://schemas.microsoft.com/office/word/2010/wordprocessingShape">
                    <wps:wsp>
                      <wps:cNvSpPr/>
                      <wps:spPr>
                        <a:xfrm>
                          <a:off x="0" y="0"/>
                          <a:ext cx="1163320" cy="1027430"/>
                        </a:xfrm>
                        <a:prstGeom prst="rect">
                          <a:avLst/>
                        </a:prstGeom>
                        <a:noFill/>
                        <a:ln w="9525" cap="flat" cmpd="sng">
                          <a:solidFill>
                            <a:srgbClr val="000000"/>
                          </a:solidFill>
                          <a:prstDash val="solid"/>
                          <a:miter/>
                          <a:headEnd type="none" w="med" len="med"/>
                          <a:tailEnd type="none" w="med" len="med"/>
                        </a:ln>
                      </wps:spPr>
                      <wps:bodyPr wrap="square" upright="1"/>
                    </wps:wsp>
                  </a:graphicData>
                </a:graphic>
              </wp:anchor>
            </w:drawing>
          </mc:Choice>
          <mc:Fallback>
            <w:pict>
              <v:rect id="矩形 51" o:spid="_x0000_s1026" o:spt="1" style="position:absolute;left:0pt;margin-left:293.35pt;margin-top:790.55pt;height:80.9pt;width:91.6pt;z-index:251666432;mso-width-relative:page;mso-height-relative:page;" filled="f" stroked="t" coordsize="21600,21600" o:gfxdata="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&#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1pwczaAAAADQEAAA8AAAAAAAAAAQAgAAAAIgAAAGRy&#10;cy9kb3ducmV2LnhtbFBLAQIUABQAAAAIAIdO4kDQbi8xAwIAAAYEAAAOAAAAAAAAAAEAIAAAACkB&#10;AABkcnMvZTJvRG9jLnhtbFBLBQYAAAAABgAGAFkBAACeBQAAAAA=&#10;">
                <v:fill on="f" focussize="0,0"/>
                <v:stroke color="#000000" joinstyle="miter"/>
                <v:imagedata o:title=""/>
                <o:lock v:ext="edit" aspectratio="f"/>
              </v:rect>
            </w:pict>
          </mc:Fallback>
        </mc:AlternateContent>
      </w:r>
      <w:r>
        <w:rPr>
          <w:rFonts w:hint="default"/>
          <w:b/>
          <w:bCs/>
          <w:color w:val="000000" w:themeColor="text1"/>
          <w:sz w:val="36"/>
          <w:szCs w:val="36"/>
          <w:highlight w:val="none"/>
          <w14:textFill>
            <w14:solidFill>
              <w14:schemeClr w14:val="tx1"/>
            </w14:solidFill>
          </w14:textFill>
        </w:rPr>
        <w:drawing>
          <wp:anchor distT="0" distB="0" distL="114300" distR="114300" simplePos="0" relativeHeight="251665408" behindDoc="0" locked="0" layoutInCell="1" allowOverlap="1">
            <wp:simplePos x="0" y="0"/>
            <wp:positionH relativeFrom="column">
              <wp:posOffset>3003550</wp:posOffset>
            </wp:positionH>
            <wp:positionV relativeFrom="paragraph">
              <wp:posOffset>11920855</wp:posOffset>
            </wp:positionV>
            <wp:extent cx="2308225" cy="2206625"/>
            <wp:effectExtent l="0" t="0" r="0" b="0"/>
            <wp:wrapNone/>
            <wp:docPr id="45" name="图片 48" descr="fa673ee4a1235588531a9a1fd8df6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8" descr="fa673ee4a1235588531a9a1fd8df6f5"/>
                    <pic:cNvPicPr>
                      <a:picLocks noChangeAspect="1"/>
                    </pic:cNvPicPr>
                  </pic:nvPicPr>
                  <pic:blipFill>
                    <a:blip r:embed="rId34"/>
                    <a:stretch>
                      <a:fillRect/>
                    </a:stretch>
                  </pic:blipFill>
                  <pic:spPr>
                    <a:xfrm>
                      <a:off x="0" y="0"/>
                      <a:ext cx="2308225" cy="2206625"/>
                    </a:xfrm>
                    <a:prstGeom prst="rect">
                      <a:avLst/>
                    </a:prstGeom>
                    <a:noFill/>
                    <a:ln w="6350" cap="flat" cmpd="sng">
                      <a:solidFill>
                        <a:srgbClr val="000000"/>
                      </a:solidFill>
                      <a:prstDash val="solid"/>
                      <a:miter/>
                      <a:headEnd type="none" w="med" len="med"/>
                      <a:tailEnd type="none" w="med" len="med"/>
                    </a:ln>
                  </pic:spPr>
                </pic:pic>
              </a:graphicData>
            </a:graphic>
          </wp:anchor>
        </w:drawing>
      </w:r>
      <w:r>
        <w:rPr>
          <w:rFonts w:hint="default"/>
          <w:b/>
          <w:bCs/>
          <w:color w:val="000000" w:themeColor="text1"/>
          <w:sz w:val="36"/>
          <w:szCs w:val="36"/>
          <w:highlight w:val="none"/>
          <w:lang w:val="en-US" w:eastAsia="zh-CN"/>
          <w14:textFill>
            <w14:solidFill>
              <w14:schemeClr w14:val="tx1"/>
            </w14:solidFill>
          </w14:textFill>
        </w:rPr>
        <w:t>图</w:t>
      </w:r>
      <w:bookmarkEnd w:id="21"/>
    </w:p>
    <w:p w14:paraId="74A84D83">
      <w:pPr>
        <w:pStyle w:val="48"/>
        <w:shd w:val="clear"/>
        <w:rPr>
          <w:rFonts w:hint="default" w:ascii="Times New Roman" w:hAnsi="Times New Roman" w:eastAsia="宋体" w:cs="Times New Roman"/>
          <w:color w:val="000000" w:themeColor="text1"/>
          <w:highlight w:val="none"/>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p>
    <w:p w14:paraId="58BE77DF">
      <w:pPr>
        <w:shd w:val="clea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mc:AlternateContent>
          <mc:Choice Requires="wpg">
            <w:drawing>
              <wp:anchor distT="0" distB="0" distL="114300" distR="114300" simplePos="0" relativeHeight="251673600" behindDoc="0" locked="0" layoutInCell="1" allowOverlap="1">
                <wp:simplePos x="0" y="0"/>
                <wp:positionH relativeFrom="column">
                  <wp:posOffset>3345815</wp:posOffset>
                </wp:positionH>
                <wp:positionV relativeFrom="paragraph">
                  <wp:posOffset>1550670</wp:posOffset>
                </wp:positionV>
                <wp:extent cx="982345" cy="524510"/>
                <wp:effectExtent l="4445" t="5080" r="22860" b="22860"/>
                <wp:wrapNone/>
                <wp:docPr id="60" name="组合 78"/>
                <wp:cNvGraphicFramePr/>
                <a:graphic xmlns:a="http://schemas.openxmlformats.org/drawingml/2006/main">
                  <a:graphicData uri="http://schemas.microsoft.com/office/word/2010/wordprocessingGroup">
                    <wpg:wgp>
                      <wpg:cNvGrpSpPr/>
                      <wpg:grpSpPr>
                        <a:xfrm>
                          <a:off x="0" y="0"/>
                          <a:ext cx="982345" cy="524510"/>
                          <a:chOff x="9440" y="496529"/>
                          <a:chExt cx="1641" cy="901"/>
                        </a:xfrm>
                      </wpg:grpSpPr>
                      <wps:wsp>
                        <wps:cNvPr id="58" name="矩形标注 224"/>
                        <wps:cNvSpPr/>
                        <wps:spPr>
                          <a:xfrm>
                            <a:off x="9551" y="496529"/>
                            <a:ext cx="1531" cy="430"/>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6C077C9A">
                              <w:pPr>
                                <w:rPr>
                                  <w:sz w:val="24"/>
                                </w:rPr>
                              </w:pPr>
                              <w:r>
                                <w:rPr>
                                  <w:rFonts w:hint="eastAsia" w:eastAsia="宋体"/>
                                  <w:sz w:val="24"/>
                                </w:rPr>
                                <w:t>项目所在地</w:t>
                              </w:r>
                            </w:p>
                          </w:txbxContent>
                        </wps:txbx>
                        <wps:bodyPr vert="horz" wrap="square" anchor="t" anchorCtr="0" upright="1"/>
                      </wps:wsp>
                      <wps:wsp>
                        <wps:cNvPr id="59" name="椭圆 80"/>
                        <wps:cNvSpPr/>
                        <wps:spPr>
                          <a:xfrm>
                            <a:off x="9440" y="497290"/>
                            <a:ext cx="140" cy="140"/>
                          </a:xfrm>
                          <a:prstGeom prst="ellipse">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wpg:wgp>
                  </a:graphicData>
                </a:graphic>
              </wp:anchor>
            </w:drawing>
          </mc:Choice>
          <mc:Fallback>
            <w:pict>
              <v:group id="组合 78" o:spid="_x0000_s1026" o:spt="203" style="position:absolute;left:0pt;margin-left:263.45pt;margin-top:122.1pt;height:41.3pt;width:77.35pt;z-index:251673600;mso-width-relative:page;mso-height-relative:page;" coordorigin="9440,496529" coordsize="1641,901" o:gfxdata="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PIEIEfcAAAACwEAAA8AAAAAAAAAAQAgAAAA&#10;IgAAAGRycy9kb3ducmV2LnhtbFBLAQIUABQAAAAIAIdO4kAJZVWVJAMAAGcIAAAOAAAAAAAAAAEA&#10;IAAAACsBAABkcnMvZTJvRG9jLnhtbFBLBQYAAAAABgAGAFkBAADBBgAAAAA=&#10;">
                <o:lock v:ext="edit" aspectratio="f"/>
                <v:shape id="矩形标注 224" o:spid="_x0000_s1026" o:spt="61" type="#_x0000_t61" style="position:absolute;left:9551;top:496529;height:430;width:1531;" fillcolor="#FFFFFF" filled="t" stroked="t" coordsize="21600,21600" o:gfxdata="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YlHxugAAANsA&#10;AAAPAAAAAAAAAAEAIAAAACIAAABkcnMvZG93bnJldi54bWxQSwECFAAUAAAACACHTuJAMy8FnjsA&#10;AAA5AAAAEAAAAAAAAAABACAAAAAJAQAAZHJzL3NoYXBleG1sLnhtbFBLBQYAAAAABgAGAFsBAACz&#10;AwAAAAA=&#10;" adj="167,38696">
                  <v:fill on="t" focussize="0,0"/>
                  <v:stroke color="#000000" joinstyle="miter"/>
                  <v:imagedata o:title=""/>
                  <o:lock v:ext="edit" aspectratio="f"/>
                  <v:textbox>
                    <w:txbxContent>
                      <w:p w14:paraId="6C077C9A">
                        <w:pPr>
                          <w:rPr>
                            <w:sz w:val="24"/>
                          </w:rPr>
                        </w:pPr>
                        <w:r>
                          <w:rPr>
                            <w:rFonts w:hint="eastAsia" w:eastAsia="宋体"/>
                            <w:sz w:val="24"/>
                          </w:rPr>
                          <w:t>项目所在地</w:t>
                        </w:r>
                      </w:p>
                    </w:txbxContent>
                  </v:textbox>
                </v:shape>
                <v:shape id="椭圆 80" o:spid="_x0000_s1026" o:spt="3" type="#_x0000_t3" style="position:absolute;left:9440;top:497290;height:140;width:140;" fillcolor="#FF0000" filled="t" stroked="t" coordsize="21600,21600" o:gfxdata="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jTI5r4A&#10;AADbAAAADwAAAAAAAAABACAAAAAiAAAAZHJzL2Rvd25yZXYueG1sUEsBAhQAFAAAAAgAh07iQDMv&#10;BZ47AAAAOQAAABAAAAAAAAAAAQAgAAAADQEAAGRycy9zaGFwZXhtbC54bWxQSwUGAAAAAAYABgBb&#10;AQAAtwMAAAAA&#10;">
                  <v:fill on="t" focussize="0,0"/>
                  <v:stroke color="#000000" joinstyle="round"/>
                  <v:imagedata o:title=""/>
                  <o:lock v:ext="edit" aspectratio="f"/>
                </v:shape>
              </v:group>
            </w:pict>
          </mc:Fallback>
        </mc:AlternateContent>
      </w:r>
      <w:r>
        <w:rPr>
          <w:color w:val="000000" w:themeColor="text1"/>
          <w:highlight w:val="none"/>
          <w14:textFill>
            <w14:solidFill>
              <w14:schemeClr w14:val="tx1"/>
            </w14:solidFill>
          </w14:textFill>
        </w:rPr>
        <w:drawing>
          <wp:inline distT="0" distB="0" distL="114300" distR="114300">
            <wp:extent cx="6515735" cy="4841875"/>
            <wp:effectExtent l="0" t="0" r="18415" b="15875"/>
            <wp:docPr id="1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2"/>
                    <pic:cNvPicPr>
                      <a:picLocks noChangeAspect="1"/>
                    </pic:cNvPicPr>
                  </pic:nvPicPr>
                  <pic:blipFill>
                    <a:blip r:embed="rId35"/>
                    <a:stretch>
                      <a:fillRect/>
                    </a:stretch>
                  </pic:blipFill>
                  <pic:spPr>
                    <a:xfrm>
                      <a:off x="0" y="0"/>
                      <a:ext cx="6515735" cy="4841875"/>
                    </a:xfrm>
                    <a:prstGeom prst="rect">
                      <a:avLst/>
                    </a:prstGeom>
                    <a:noFill/>
                    <a:ln>
                      <a:noFill/>
                    </a:ln>
                  </pic:spPr>
                </pic:pic>
              </a:graphicData>
            </a:graphic>
          </wp:inline>
        </w:drawing>
      </w:r>
    </w:p>
    <w:p w14:paraId="73055255">
      <w:pPr>
        <w:shd w:val="clear"/>
        <w:bidi w:val="0"/>
        <w:jc w:val="center"/>
        <w:rPr>
          <w:rFonts w:hint="default"/>
          <w:b/>
          <w:bCs/>
          <w:color w:val="000000" w:themeColor="text1"/>
          <w:sz w:val="36"/>
          <w:szCs w:val="36"/>
          <w:highlight w:val="none"/>
          <w:lang w:val="en-US" w:eastAsia="zh-CN"/>
          <w14:textFill>
            <w14:solidFill>
              <w14:schemeClr w14:val="tx1"/>
            </w14:solidFill>
          </w14:textFill>
        </w:rPr>
        <w:sectPr>
          <w:pgSz w:w="16838" w:h="11906" w:orient="landscape"/>
          <w:pgMar w:top="1531" w:right="1701" w:bottom="1531" w:left="1701" w:header="851" w:footer="850" w:gutter="0"/>
          <w:pgNumType w:fmt="decimal"/>
          <w:cols w:space="0" w:num="1"/>
          <w:rtlGutter w:val="0"/>
          <w:docGrid w:linePitch="312" w:charSpace="0"/>
        </w:sectPr>
      </w:pPr>
      <w:r>
        <w:rPr>
          <w:rFonts w:hint="default"/>
          <w:b/>
          <w:bCs/>
          <w:color w:val="000000" w:themeColor="text1"/>
          <w:sz w:val="36"/>
          <w:szCs w:val="36"/>
          <w:highlight w:val="none"/>
          <w:lang w:val="en-US" w:eastAsia="zh-CN"/>
          <w14:textFill>
            <w14:solidFill>
              <w14:schemeClr w14:val="tx1"/>
            </w14:solidFill>
          </w14:textFill>
        </w:rPr>
        <w:t>附图7南</w:t>
      </w:r>
      <w:r>
        <w:rPr>
          <w:rFonts w:hint="eastAsia"/>
          <w:b/>
          <w:bCs/>
          <w:color w:val="000000" w:themeColor="text1"/>
          <w:sz w:val="36"/>
          <w:szCs w:val="36"/>
          <w:highlight w:val="none"/>
          <w:lang w:val="en-US" w:eastAsia="zh-CN"/>
          <w14:textFill>
            <w14:solidFill>
              <w14:schemeClr w14:val="tx1"/>
            </w14:solidFill>
          </w14:textFill>
        </w:rPr>
        <w:t>朗街道</w:t>
      </w:r>
      <w:r>
        <w:rPr>
          <w:rFonts w:hint="default"/>
          <w:b/>
          <w:bCs/>
          <w:color w:val="000000" w:themeColor="text1"/>
          <w:sz w:val="36"/>
          <w:szCs w:val="36"/>
          <w:highlight w:val="none"/>
          <w:lang w:val="en-US" w:eastAsia="zh-CN"/>
          <w14:textFill>
            <w14:solidFill>
              <w14:schemeClr w14:val="tx1"/>
            </w14:solidFill>
          </w14:textFill>
        </w:rPr>
        <w:t>声环境功能区划图</w:t>
      </w:r>
    </w:p>
    <w:p w14:paraId="720DDFFE">
      <w:pPr>
        <w:pStyle w:val="48"/>
        <w:shd w:val="clear"/>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sz w:val="36"/>
          <w14:textFill>
            <w14:solidFill>
              <w14:schemeClr w14:val="tx1"/>
            </w14:solidFill>
          </w14:textFill>
        </w:rPr>
        <mc:AlternateContent>
          <mc:Choice Requires="wps">
            <w:drawing>
              <wp:anchor distT="0" distB="0" distL="114300" distR="114300" simplePos="0" relativeHeight="251737088" behindDoc="0" locked="0" layoutInCell="1" allowOverlap="1">
                <wp:simplePos x="0" y="0"/>
                <wp:positionH relativeFrom="column">
                  <wp:posOffset>1910715</wp:posOffset>
                </wp:positionH>
                <wp:positionV relativeFrom="paragraph">
                  <wp:posOffset>3561080</wp:posOffset>
                </wp:positionV>
                <wp:extent cx="998855" cy="535305"/>
                <wp:effectExtent l="0" t="0" r="0" b="0"/>
                <wp:wrapNone/>
                <wp:docPr id="10" name="文本框 10"/>
                <wp:cNvGraphicFramePr/>
                <a:graphic xmlns:a="http://schemas.openxmlformats.org/drawingml/2006/main">
                  <a:graphicData uri="http://schemas.microsoft.com/office/word/2010/wordprocessingShape">
                    <wps:wsp>
                      <wps:cNvSpPr txBox="1"/>
                      <wps:spPr>
                        <a:xfrm>
                          <a:off x="3489325" y="4281805"/>
                          <a:ext cx="998855" cy="535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AE32F">
                            <w:pPr>
                              <w:jc w:val="center"/>
                              <w:rPr>
                                <w:rFonts w:hint="eastAsia"/>
                                <w:b/>
                                <w:bCs/>
                                <w:color w:val="E46C0A" w:themeColor="accent6" w:themeShade="BF"/>
                                <w:sz w:val="15"/>
                                <w:szCs w:val="15"/>
                              </w:rPr>
                            </w:pPr>
                            <w:r>
                              <w:rPr>
                                <w:rFonts w:hint="eastAsia"/>
                                <w:b/>
                                <w:bCs/>
                                <w:color w:val="E46C0A" w:themeColor="accent6" w:themeShade="BF"/>
                                <w:sz w:val="15"/>
                                <w:szCs w:val="15"/>
                              </w:rPr>
                              <w:t>京珠高速公路广珠段改扩建管理处</w:t>
                            </w:r>
                          </w:p>
                          <w:p w14:paraId="5D6F99EF">
                            <w:pPr>
                              <w:jc w:val="center"/>
                              <w:rPr>
                                <w:rFonts w:hint="default" w:eastAsia="宋体"/>
                                <w:b/>
                                <w:bCs/>
                                <w:color w:val="E46C0A" w:themeColor="accent6" w:themeShade="BF"/>
                                <w:sz w:val="15"/>
                                <w:szCs w:val="15"/>
                                <w:lang w:val="en-US" w:eastAsia="zh-CN"/>
                              </w:rPr>
                            </w:pPr>
                            <w:r>
                              <w:rPr>
                                <w:rFonts w:hint="eastAsia"/>
                                <w:b/>
                                <w:bCs/>
                                <w:color w:val="E46C0A" w:themeColor="accent6" w:themeShade="BF"/>
                                <w:sz w:val="15"/>
                                <w:szCs w:val="15"/>
                                <w:lang w:val="en-US" w:eastAsia="zh-CN"/>
                              </w:rPr>
                              <w:t>231m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45pt;margin-top:280.4pt;height:42.15pt;width:78.65pt;z-index:251737088;mso-width-relative:page;mso-height-relative:page;" filled="f" stroked="f" coordsize="21600,21600" o:gfxdata="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sPY3zNwAAAALAQAADwAAAAAA&#10;AAABACAAAAAiAAAAZHJzL2Rvd25yZXYueG1sUEsBAhQAFAAAAAgAh07iQKmxthhIAgAAcwQAAA4A&#10;AAAAAAAAAQAgAAAAKwEAAGRycy9lMm9Eb2MueG1sUEsFBgAAAAAGAAYAWQEAAOUFAAAAAA==&#10;">
                <v:fill on="f" focussize="0,0"/>
                <v:stroke on="f" weight="0.5pt"/>
                <v:imagedata o:title=""/>
                <o:lock v:ext="edit" aspectratio="f"/>
                <v:textbox>
                  <w:txbxContent>
                    <w:p w14:paraId="376AE32F">
                      <w:pPr>
                        <w:jc w:val="center"/>
                        <w:rPr>
                          <w:rFonts w:hint="eastAsia"/>
                          <w:b/>
                          <w:bCs/>
                          <w:color w:val="E46C0A" w:themeColor="accent6" w:themeShade="BF"/>
                          <w:sz w:val="15"/>
                          <w:szCs w:val="15"/>
                        </w:rPr>
                      </w:pPr>
                      <w:r>
                        <w:rPr>
                          <w:rFonts w:hint="eastAsia"/>
                          <w:b/>
                          <w:bCs/>
                          <w:color w:val="E46C0A" w:themeColor="accent6" w:themeShade="BF"/>
                          <w:sz w:val="15"/>
                          <w:szCs w:val="15"/>
                        </w:rPr>
                        <w:t>京珠高速公路广珠段改扩建管理处</w:t>
                      </w:r>
                    </w:p>
                    <w:p w14:paraId="5D6F99EF">
                      <w:pPr>
                        <w:jc w:val="center"/>
                        <w:rPr>
                          <w:rFonts w:hint="default" w:eastAsia="宋体"/>
                          <w:b/>
                          <w:bCs/>
                          <w:color w:val="E46C0A" w:themeColor="accent6" w:themeShade="BF"/>
                          <w:sz w:val="15"/>
                          <w:szCs w:val="15"/>
                          <w:lang w:val="en-US" w:eastAsia="zh-CN"/>
                        </w:rPr>
                      </w:pPr>
                      <w:r>
                        <w:rPr>
                          <w:rFonts w:hint="eastAsia"/>
                          <w:b/>
                          <w:bCs/>
                          <w:color w:val="E46C0A" w:themeColor="accent6" w:themeShade="BF"/>
                          <w:sz w:val="15"/>
                          <w:szCs w:val="15"/>
                          <w:lang w:val="en-US" w:eastAsia="zh-CN"/>
                        </w:rPr>
                        <w:t>231m</w:t>
                      </w:r>
                    </w:p>
                  </w:txbxContent>
                </v:textbox>
              </v:shape>
            </w:pict>
          </mc:Fallback>
        </mc:AlternateContent>
      </w:r>
      <w:r>
        <w:rPr>
          <w:color w:val="000000" w:themeColor="text1"/>
          <w:sz w:val="36"/>
          <w14:textFill>
            <w14:solidFill>
              <w14:schemeClr w14:val="tx1"/>
            </w14:solidFill>
          </w14:textFill>
        </w:rPr>
        <mc:AlternateContent>
          <mc:Choice Requires="wps">
            <w:drawing>
              <wp:anchor distT="0" distB="0" distL="114300" distR="114300" simplePos="0" relativeHeight="251738112" behindDoc="0" locked="0" layoutInCell="1" allowOverlap="1">
                <wp:simplePos x="0" y="0"/>
                <wp:positionH relativeFrom="column">
                  <wp:posOffset>3064510</wp:posOffset>
                </wp:positionH>
                <wp:positionV relativeFrom="paragraph">
                  <wp:posOffset>2131060</wp:posOffset>
                </wp:positionV>
                <wp:extent cx="555625" cy="496570"/>
                <wp:effectExtent l="0" t="0" r="0" b="0"/>
                <wp:wrapNone/>
                <wp:docPr id="11" name="文本框 11"/>
                <wp:cNvGraphicFramePr/>
                <a:graphic xmlns:a="http://schemas.openxmlformats.org/drawingml/2006/main">
                  <a:graphicData uri="http://schemas.microsoft.com/office/word/2010/wordprocessingShape">
                    <wps:wsp>
                      <wps:cNvSpPr txBox="1"/>
                      <wps:spPr>
                        <a:xfrm>
                          <a:off x="3547745" y="2530475"/>
                          <a:ext cx="555625" cy="4965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E5E6B8">
                            <w:pPr>
                              <w:rPr>
                                <w:rFonts w:hint="eastAsia" w:eastAsia="宋体"/>
                                <w:color w:val="FFC000"/>
                                <w:sz w:val="52"/>
                                <w:szCs w:val="52"/>
                                <w:lang w:val="en-US" w:eastAsia="zh-CN"/>
                              </w:rPr>
                            </w:pPr>
                            <w:r>
                              <w:rPr>
                                <w:rFonts w:hint="eastAsia"/>
                                <w:color w:val="FFC000"/>
                                <w:sz w:val="52"/>
                                <w:szCs w:val="52"/>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1.3pt;margin-top:167.8pt;height:39.1pt;width:43.75pt;z-index:251738112;mso-width-relative:page;mso-height-relative:page;" filled="f" stroked="f" coordsize="21600,21600" o:gfxdata="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gZjy52wAAAAsBAAAPAAAAAAAA&#10;AAEAIAAAACIAAABkcnMvZG93bnJldi54bWxQSwECFAAUAAAACACHTuJALr4l+kgCAABzBAAADgAA&#10;AAAAAAABACAAAAAqAQAAZHJzL2Uyb0RvYy54bWxQSwUGAAAAAAYABgBZAQAA5AUAAAAA&#10;">
                <v:fill on="f" focussize="0,0"/>
                <v:stroke on="f" weight="0.5pt"/>
                <v:imagedata o:title=""/>
                <o:lock v:ext="edit" aspectratio="f"/>
                <v:textbox>
                  <w:txbxContent>
                    <w:p w14:paraId="6FE5E6B8">
                      <w:pPr>
                        <w:rPr>
                          <w:rFonts w:hint="eastAsia" w:eastAsia="宋体"/>
                          <w:color w:val="FFC000"/>
                          <w:sz w:val="52"/>
                          <w:szCs w:val="52"/>
                          <w:lang w:val="en-US" w:eastAsia="zh-CN"/>
                        </w:rPr>
                      </w:pPr>
                      <w:r>
                        <w:rPr>
                          <w:rFonts w:hint="eastAsia"/>
                          <w:color w:val="FFC000"/>
                          <w:sz w:val="52"/>
                          <w:szCs w:val="52"/>
                          <w:lang w:val="en-US" w:eastAsia="zh-CN"/>
                        </w:rPr>
                        <w:t>.</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9376" behindDoc="0" locked="0" layoutInCell="1" allowOverlap="1">
                <wp:simplePos x="0" y="0"/>
                <wp:positionH relativeFrom="column">
                  <wp:posOffset>2381885</wp:posOffset>
                </wp:positionH>
                <wp:positionV relativeFrom="paragraph">
                  <wp:posOffset>2684145</wp:posOffset>
                </wp:positionV>
                <wp:extent cx="599440" cy="231775"/>
                <wp:effectExtent l="0" t="0" r="0" b="0"/>
                <wp:wrapNone/>
                <wp:docPr id="33" name="文本框 33"/>
                <wp:cNvGraphicFramePr/>
                <a:graphic xmlns:a="http://schemas.openxmlformats.org/drawingml/2006/main">
                  <a:graphicData uri="http://schemas.microsoft.com/office/word/2010/wordprocessingShape">
                    <wps:wsp>
                      <wps:cNvSpPr txBox="1"/>
                      <wps:spPr>
                        <a:xfrm rot="19320000">
                          <a:off x="3615055" y="3601720"/>
                          <a:ext cx="599440" cy="2317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D3837">
                            <w:pPr>
                              <w:rPr>
                                <w:rFonts w:hint="default" w:eastAsia="宋体"/>
                                <w:b/>
                                <w:bCs/>
                                <w:color w:val="auto"/>
                                <w:sz w:val="15"/>
                                <w:szCs w:val="15"/>
                                <w:lang w:val="en-US" w:eastAsia="zh-CN"/>
                              </w:rPr>
                            </w:pPr>
                            <w:r>
                              <w:rPr>
                                <w:rFonts w:hint="eastAsia"/>
                                <w:b/>
                                <w:bCs/>
                                <w:color w:val="auto"/>
                                <w:sz w:val="15"/>
                                <w:szCs w:val="15"/>
                                <w:lang w:val="en-US" w:eastAsia="zh-CN"/>
                              </w:rPr>
                              <w:t>247m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7.55pt;margin-top:211.35pt;height:18.25pt;width:47.2pt;rotation:-2490368f;z-index:251749376;mso-width-relative:page;mso-height-relative:page;" filled="f" stroked="f" coordsize="21600,21600" o:gfxdata="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xgVq32wAAAAsBAAAP&#10;AAAAAAAAAAEAIAAAACIAAABkcnMvZG93bnJldi54bWxQSwECFAAUAAAACACHTuJAZ2XE604CAACC&#10;BAAADgAAAAAAAAABACAAAAAqAQAAZHJzL2Uyb0RvYy54bWxQSwUGAAAAAAYABgBZAQAA6gUAAAAA&#10;">
                <v:fill on="f" focussize="0,0"/>
                <v:stroke on="f" weight="0.5pt"/>
                <v:imagedata o:title=""/>
                <o:lock v:ext="edit" aspectratio="f"/>
                <v:textbox>
                  <w:txbxContent>
                    <w:p w14:paraId="657D3837">
                      <w:pPr>
                        <w:rPr>
                          <w:rFonts w:hint="default" w:eastAsia="宋体"/>
                          <w:b/>
                          <w:bCs/>
                          <w:color w:val="auto"/>
                          <w:sz w:val="15"/>
                          <w:szCs w:val="15"/>
                          <w:lang w:val="en-US" w:eastAsia="zh-CN"/>
                        </w:rPr>
                      </w:pPr>
                      <w:r>
                        <w:rPr>
                          <w:rFonts w:hint="eastAsia"/>
                          <w:b/>
                          <w:bCs/>
                          <w:color w:val="auto"/>
                          <w:sz w:val="15"/>
                          <w:szCs w:val="15"/>
                          <w:lang w:val="en-US" w:eastAsia="zh-CN"/>
                        </w:rPr>
                        <w:t>247m</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1184" behindDoc="0" locked="0" layoutInCell="1" allowOverlap="1">
                <wp:simplePos x="0" y="0"/>
                <wp:positionH relativeFrom="column">
                  <wp:posOffset>7346315</wp:posOffset>
                </wp:positionH>
                <wp:positionV relativeFrom="paragraph">
                  <wp:posOffset>2390775</wp:posOffset>
                </wp:positionV>
                <wp:extent cx="629920" cy="248920"/>
                <wp:effectExtent l="0" t="0" r="0" b="0"/>
                <wp:wrapNone/>
                <wp:docPr id="15" name="文本框 15"/>
                <wp:cNvGraphicFramePr/>
                <a:graphic xmlns:a="http://schemas.openxmlformats.org/drawingml/2006/main">
                  <a:graphicData uri="http://schemas.microsoft.com/office/word/2010/wordprocessingShape">
                    <wps:wsp>
                      <wps:cNvSpPr txBox="1"/>
                      <wps:spPr>
                        <a:xfrm>
                          <a:off x="8389620" y="3716655"/>
                          <a:ext cx="629920" cy="2489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205B1E">
                            <w:pPr>
                              <w:rPr>
                                <w:rFonts w:hint="eastAsia" w:eastAsia="宋体"/>
                                <w:lang w:val="en-US" w:eastAsia="zh-CN"/>
                              </w:rPr>
                            </w:pPr>
                            <w:r>
                              <w:rPr>
                                <w:rFonts w:hint="eastAsia"/>
                                <w:lang w:val="en-US" w:eastAsia="zh-CN"/>
                              </w:rPr>
                              <w:t>敏感点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8.45pt;margin-top:188.25pt;height:19.6pt;width:49.6pt;z-index:251741184;mso-width-relative:page;mso-height-relative:page;" filled="f" stroked="f" coordsize="21600,21600" o:gfxdata="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Y61iH3QAAAA0BAAAPAAAAAAAA&#10;AAEAIAAAACIAAABkcnMvZG93bnJldi54bWxQSwECFAAUAAAACACHTuJA72cOUEYCAABzBAAADgAA&#10;AAAAAAABACAAAAAsAQAAZHJzL2Uyb0RvYy54bWxQSwUGAAAAAAYABgBZAQAA5AUAAAAA&#10;">
                <v:fill on="f" focussize="0,0"/>
                <v:stroke on="f" weight="0.5pt"/>
                <v:imagedata o:title=""/>
                <o:lock v:ext="edit" aspectratio="f"/>
                <v:textbox>
                  <w:txbxContent>
                    <w:p w14:paraId="42205B1E">
                      <w:pPr>
                        <w:rPr>
                          <w:rFonts w:hint="eastAsia" w:eastAsia="宋体"/>
                          <w:lang w:val="en-US" w:eastAsia="zh-CN"/>
                        </w:rPr>
                      </w:pPr>
                      <w:r>
                        <w:rPr>
                          <w:rFonts w:hint="eastAsia"/>
                          <w:lang w:val="en-US" w:eastAsia="zh-CN"/>
                        </w:rPr>
                        <w:t>敏感点</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2208" behindDoc="0" locked="0" layoutInCell="1" allowOverlap="1">
                <wp:simplePos x="0" y="0"/>
                <wp:positionH relativeFrom="column">
                  <wp:posOffset>7367270</wp:posOffset>
                </wp:positionH>
                <wp:positionV relativeFrom="paragraph">
                  <wp:posOffset>3080385</wp:posOffset>
                </wp:positionV>
                <wp:extent cx="608330" cy="282575"/>
                <wp:effectExtent l="0" t="0" r="0" b="0"/>
                <wp:wrapNone/>
                <wp:docPr id="16" name="文本框 16"/>
                <wp:cNvGraphicFramePr/>
                <a:graphic xmlns:a="http://schemas.openxmlformats.org/drawingml/2006/main">
                  <a:graphicData uri="http://schemas.microsoft.com/office/word/2010/wordprocessingShape">
                    <wps:wsp>
                      <wps:cNvSpPr txBox="1"/>
                      <wps:spPr>
                        <a:xfrm>
                          <a:off x="8468995" y="4081780"/>
                          <a:ext cx="608330" cy="282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C275EF">
                            <w:pPr>
                              <w:rPr>
                                <w:rFonts w:hint="eastAsia" w:eastAsia="宋体"/>
                                <w:lang w:val="en-US" w:eastAsia="zh-CN"/>
                              </w:rPr>
                            </w:pPr>
                            <w:r>
                              <w:rPr>
                                <w:rFonts w:hint="eastAsia"/>
                                <w:lang w:val="en-US" w:eastAsia="zh-CN"/>
                              </w:rPr>
                              <w:t>排气筒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0.1pt;margin-top:242.55pt;height:22.25pt;width:47.9pt;z-index:251742208;mso-width-relative:page;mso-height-relative:page;" filled="f" stroked="f" coordsize="21600,21600" o:gfxdata="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HADktwAAAANAQAADwAAAAAA&#10;AAABACAAAAAiAAAAZHJzL2Rvd25yZXYueG1sUEsBAhQAFAAAAAgAh07iQF/FrZBIAgAAcwQAAA4A&#10;AAAAAAAAAQAgAAAAKwEAAGRycy9lMm9Eb2MueG1sUEsFBgAAAAAGAAYAWQEAAOUFAAAAAA==&#10;">
                <v:fill on="f" focussize="0,0"/>
                <v:stroke on="f" weight="0.5pt"/>
                <v:imagedata o:title=""/>
                <o:lock v:ext="edit" aspectratio="f"/>
                <v:textbox>
                  <w:txbxContent>
                    <w:p w14:paraId="76C275EF">
                      <w:pPr>
                        <w:rPr>
                          <w:rFonts w:hint="eastAsia" w:eastAsia="宋体"/>
                          <w:lang w:val="en-US" w:eastAsia="zh-CN"/>
                        </w:rPr>
                      </w:pPr>
                      <w:r>
                        <w:rPr>
                          <w:rFonts w:hint="eastAsia"/>
                          <w:lang w:val="en-US" w:eastAsia="zh-CN"/>
                        </w:rPr>
                        <w:t>排气筒</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8352" behindDoc="0" locked="0" layoutInCell="1" allowOverlap="1">
                <wp:simplePos x="0" y="0"/>
                <wp:positionH relativeFrom="column">
                  <wp:posOffset>7345680</wp:posOffset>
                </wp:positionH>
                <wp:positionV relativeFrom="paragraph">
                  <wp:posOffset>2665095</wp:posOffset>
                </wp:positionV>
                <wp:extent cx="661670" cy="417195"/>
                <wp:effectExtent l="0" t="0" r="0" b="0"/>
                <wp:wrapNone/>
                <wp:docPr id="30" name="文本框 30"/>
                <wp:cNvGraphicFramePr/>
                <a:graphic xmlns:a="http://schemas.openxmlformats.org/drawingml/2006/main">
                  <a:graphicData uri="http://schemas.microsoft.com/office/word/2010/wordprocessingShape">
                    <wps:wsp>
                      <wps:cNvSpPr txBox="1"/>
                      <wps:spPr>
                        <a:xfrm>
                          <a:off x="8425815" y="3679190"/>
                          <a:ext cx="661670" cy="4171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F5871E">
                            <w:pPr>
                              <w:rPr>
                                <w:rFonts w:hint="default" w:eastAsia="宋体"/>
                                <w:lang w:val="en-US" w:eastAsia="zh-CN"/>
                              </w:rPr>
                            </w:pPr>
                            <w:r>
                              <w:rPr>
                                <w:rFonts w:hint="eastAsia"/>
                                <w:lang w:val="en-US" w:eastAsia="zh-CN"/>
                              </w:rPr>
                              <w:t>高噪声设备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8.4pt;margin-top:209.85pt;height:32.85pt;width:52.1pt;z-index:251748352;mso-width-relative:page;mso-height-relative:page;" filled="f" stroked="f" coordsize="21600,21600" o:gfxdata="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gO9QL3AAAAA0BAAAPAAAAAAAA&#10;AAEAIAAAACIAAABkcnMvZG93bnJldi54bWxQSwECFAAUAAAACACHTuJAbYyBNUcCAABzBAAADgAA&#10;AAAAAAABACAAAAArAQAAZHJzL2Uyb0RvYy54bWxQSwUGAAAAAAYABgBZAQAA5AUAAAAA&#10;">
                <v:fill on="f" focussize="0,0"/>
                <v:stroke on="f" weight="0.5pt"/>
                <v:imagedata o:title=""/>
                <o:lock v:ext="edit" aspectratio="f"/>
                <v:textbox>
                  <w:txbxContent>
                    <w:p w14:paraId="21F5871E">
                      <w:pPr>
                        <w:rPr>
                          <w:rFonts w:hint="default" w:eastAsia="宋体"/>
                          <w:lang w:val="en-US" w:eastAsia="zh-CN"/>
                        </w:rPr>
                      </w:pPr>
                      <w:r>
                        <w:rPr>
                          <w:rFonts w:hint="eastAsia"/>
                          <w:lang w:val="en-US" w:eastAsia="zh-CN"/>
                        </w:rPr>
                        <w:t>高噪声设备</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7328" behindDoc="0" locked="0" layoutInCell="1" allowOverlap="1">
                <wp:simplePos x="0" y="0"/>
                <wp:positionH relativeFrom="column">
                  <wp:posOffset>6852285</wp:posOffset>
                </wp:positionH>
                <wp:positionV relativeFrom="paragraph">
                  <wp:posOffset>2769870</wp:posOffset>
                </wp:positionV>
                <wp:extent cx="423545" cy="229235"/>
                <wp:effectExtent l="12700" t="12700" r="20955" b="24765"/>
                <wp:wrapNone/>
                <wp:docPr id="29" name="矩形 29"/>
                <wp:cNvGraphicFramePr/>
                <a:graphic xmlns:a="http://schemas.openxmlformats.org/drawingml/2006/main">
                  <a:graphicData uri="http://schemas.microsoft.com/office/word/2010/wordprocessingShape">
                    <wps:wsp>
                      <wps:cNvSpPr/>
                      <wps:spPr>
                        <a:xfrm>
                          <a:off x="7932420" y="3742055"/>
                          <a:ext cx="423545" cy="229235"/>
                        </a:xfrm>
                        <a:prstGeom prst="rect">
                          <a:avLst/>
                        </a:prstGeom>
                        <a:no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9.55pt;margin-top:218.1pt;height:18.05pt;width:33.35pt;z-index:251747328;v-text-anchor:middle;mso-width-relative:page;mso-height-relative:page;" filled="f" stroked="t" coordsize="21600,21600" o:gfxdata="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LvSyA9oAAAANAQAADwAAAAAAAAABACAAAAAiAAAAZHJzL2Rvd25yZXYu&#10;eG1sUEsBAhQAFAAAAAgAh07iQIu+K0VrAgAAwQQAAA4AAAAAAAAAAQAgAAAAKQEAAGRycy9lMm9E&#10;b2MueG1sUEsFBgAAAAAGAAYAWQEAAAYGAAAAAA==&#10;">
                <v:fill on="f" focussize="0,0"/>
                <v:stroke weight="2pt" color="#00B0F0 [2404]" joinstyle="round"/>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39136" behindDoc="0" locked="0" layoutInCell="1" allowOverlap="1">
                <wp:simplePos x="0" y="0"/>
                <wp:positionH relativeFrom="column">
                  <wp:posOffset>6828790</wp:posOffset>
                </wp:positionH>
                <wp:positionV relativeFrom="paragraph">
                  <wp:posOffset>2402205</wp:posOffset>
                </wp:positionV>
                <wp:extent cx="402590" cy="222250"/>
                <wp:effectExtent l="12700" t="12700" r="22860" b="12700"/>
                <wp:wrapNone/>
                <wp:docPr id="12" name="矩形 12"/>
                <wp:cNvGraphicFramePr/>
                <a:graphic xmlns:a="http://schemas.openxmlformats.org/drawingml/2006/main">
                  <a:graphicData uri="http://schemas.microsoft.com/office/word/2010/wordprocessingShape">
                    <wps:wsp>
                      <wps:cNvSpPr/>
                      <wps:spPr>
                        <a:xfrm>
                          <a:off x="7881620" y="3632200"/>
                          <a:ext cx="402590" cy="222250"/>
                        </a:xfrm>
                        <a:prstGeom prst="rect">
                          <a:avLst/>
                        </a:prstGeom>
                        <a:noFill/>
                        <a:ln>
                          <a:solidFill>
                            <a:schemeClr val="accent6">
                              <a:lumMod val="75000"/>
                            </a:schemeClr>
                          </a:solidFill>
                          <a:prstDash val="sys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7.7pt;margin-top:189.15pt;height:17.5pt;width:31.7pt;z-index:251739136;v-text-anchor:middle;mso-width-relative:page;mso-height-relative:page;" filled="f" stroked="t" coordsize="21600,21600" o:gfxdata="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okdbYtkAAAANAQAADwAAAAAAAAABACAA&#10;AAAiAAAAZHJzL2Rvd25yZXYueG1sUEsBAhQAFAAAAAgAh07iQINCou1+AgAA5QQAAA4AAAAAAAAA&#10;AQAgAAAAKAEAAGRycy9lMm9Eb2MueG1sUEsFBgAAAAAGAAYAWQEAABgGAAAAAA==&#10;">
                <v:fill on="f" focussize="0,0"/>
                <v:stroke weight="2pt" color="#E46C0A [2409]" joinstyle="round" dashstyle="3 1"/>
                <v:imagedata o:title=""/>
                <o:lock v:ext="edit" aspectratio="f"/>
              </v:rect>
            </w:pict>
          </mc:Fallback>
        </mc:AlternateContent>
      </w:r>
      <w:r>
        <w:rPr>
          <w:rFonts w:hint="default" w:ascii="Times New Roman" w:hAnsi="Times New Roman" w:eastAsia="宋体" w:cs="Times New Roman"/>
          <w:color w:val="000000" w:themeColor="text1"/>
          <w:sz w:val="24"/>
          <w:highlight w:val="none"/>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6804660</wp:posOffset>
                </wp:positionH>
                <wp:positionV relativeFrom="paragraph">
                  <wp:posOffset>2008505</wp:posOffset>
                </wp:positionV>
                <wp:extent cx="406400" cy="200660"/>
                <wp:effectExtent l="0" t="0" r="0" b="0"/>
                <wp:wrapNone/>
                <wp:docPr id="91" name="矩形 419"/>
                <wp:cNvGraphicFramePr/>
                <a:graphic xmlns:a="http://schemas.openxmlformats.org/drawingml/2006/main">
                  <a:graphicData uri="http://schemas.microsoft.com/office/word/2010/wordprocessingShape">
                    <wps:wsp>
                      <wps:cNvSpPr/>
                      <wps:spPr>
                        <a:xfrm>
                          <a:off x="0" y="0"/>
                          <a:ext cx="406400" cy="200660"/>
                        </a:xfrm>
                        <a:prstGeom prst="rect">
                          <a:avLst/>
                        </a:prstGeom>
                        <a:noFill/>
                        <a:ln w="19050" cap="flat" cmpd="sng">
                          <a:solidFill>
                            <a:srgbClr val="FF0000"/>
                          </a:solidFill>
                          <a:prstDash val="solid"/>
                          <a:miter/>
                          <a:headEnd type="none" w="med" len="med"/>
                          <a:tailEnd type="none" w="med" len="med"/>
                        </a:ln>
                      </wps:spPr>
                      <wps:bodyPr vert="horz" wrap="square" anchor="t" anchorCtr="0" upright="1"/>
                    </wps:wsp>
                  </a:graphicData>
                </a:graphic>
              </wp:anchor>
            </w:drawing>
          </mc:Choice>
          <mc:Fallback>
            <w:pict>
              <v:rect id="矩形 419" o:spid="_x0000_s1026" o:spt="1" style="position:absolute;left:0pt;margin-left:535.8pt;margin-top:158.15pt;height:15.8pt;width:32pt;z-index:251681792;mso-width-relative:page;mso-height-relative:page;" filled="f" stroked="t" coordsize="21600,21600" o:gfxdata="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z7wMnaAAAADQEAAA8A&#10;AAAAAAAAAQAgAAAAIgAAAGRycy9kb3ducmV2LnhtbFBLAQIUABQAAAAIAIdO4kCRSf8WFQIAACsE&#10;AAAOAAAAAAAAAAEAIAAAACkBAABkcnMvZTJvRG9jLnhtbFBLBQYAAAAABgAGAFkBAACwBQAAAAA=&#10;">
                <v:fill on="f" focussize="0,0"/>
                <v:stroke weight="1.5pt" color="#FF0000" joinstyle="miter"/>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6304" behindDoc="0" locked="0" layoutInCell="1" allowOverlap="1">
                <wp:simplePos x="0" y="0"/>
                <wp:positionH relativeFrom="column">
                  <wp:posOffset>2532380</wp:posOffset>
                </wp:positionH>
                <wp:positionV relativeFrom="paragraph">
                  <wp:posOffset>2429510</wp:posOffset>
                </wp:positionV>
                <wp:extent cx="626110" cy="633095"/>
                <wp:effectExtent l="0" t="4445" r="21590" b="10160"/>
                <wp:wrapNone/>
                <wp:docPr id="28" name="直接箭头连接符 28"/>
                <wp:cNvGraphicFramePr/>
                <a:graphic xmlns:a="http://schemas.openxmlformats.org/drawingml/2006/main">
                  <a:graphicData uri="http://schemas.microsoft.com/office/word/2010/wordprocessingShape">
                    <wps:wsp>
                      <wps:cNvCnPr/>
                      <wps:spPr>
                        <a:xfrm flipH="1">
                          <a:off x="3621405" y="3422015"/>
                          <a:ext cx="626110" cy="633095"/>
                        </a:xfrm>
                        <a:prstGeom prst="straightConnector1">
                          <a:avLst/>
                        </a:prstGeom>
                        <a:ln w="12700">
                          <a:solidFill>
                            <a:schemeClr val="tx1"/>
                          </a:solidFill>
                          <a:prstDash val="sys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99.4pt;margin-top:191.3pt;height:49.85pt;width:49.3pt;z-index:251746304;mso-width-relative:page;mso-height-relative:page;" filled="f" stroked="t" coordsize="21600,21600" o:gfxdata="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8Lex6dkAAAALAQAADwAAAAAA&#10;AAABACAAAAAiAAAAZHJzL2Rvd25yZXYueG1sUEsBAhQAFAAAAAgAh07iQHeeh5MSAgAA5gMAAA4A&#10;AAAAAAAAAQAgAAAAKAEAAGRycy9lMm9Eb2MueG1sUEsFBgAAAAAGAAYAWQEAAKwFAAAAAA==&#10;">
                <v:fill on="f" focussize="0,0"/>
                <v:stroke weight="1pt" color="#000000 [3213]" joinstyle="round" dashstyle="3 1" endarrow="open"/>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5280" behindDoc="0" locked="0" layoutInCell="1" allowOverlap="1">
                <wp:simplePos x="0" y="0"/>
                <wp:positionH relativeFrom="column">
                  <wp:posOffset>3140710</wp:posOffset>
                </wp:positionH>
                <wp:positionV relativeFrom="paragraph">
                  <wp:posOffset>2382520</wp:posOffset>
                </wp:positionV>
                <wp:extent cx="76200" cy="76200"/>
                <wp:effectExtent l="4445" t="4445" r="14605" b="14605"/>
                <wp:wrapNone/>
                <wp:docPr id="27" name="任意多边形 27"/>
                <wp:cNvGraphicFramePr/>
                <a:graphic xmlns:a="http://schemas.openxmlformats.org/drawingml/2006/main">
                  <a:graphicData uri="http://schemas.microsoft.com/office/word/2010/wordprocessingShape">
                    <wps:wsp>
                      <wps:cNvSpPr/>
                      <wps:spPr>
                        <a:xfrm>
                          <a:off x="4217035" y="3348355"/>
                          <a:ext cx="76200" cy="76200"/>
                        </a:xfrm>
                        <a:custGeom>
                          <a:avLst/>
                          <a:gdLst>
                            <a:gd name="connisteX0" fmla="*/ 0 w 80010"/>
                            <a:gd name="connsiteY0" fmla="*/ 36830 h 82550"/>
                            <a:gd name="connisteX1" fmla="*/ 36830 w 80010"/>
                            <a:gd name="connsiteY1" fmla="*/ 73025 h 82550"/>
                            <a:gd name="connisteX2" fmla="*/ 45085 w 80010"/>
                            <a:gd name="connsiteY2" fmla="*/ 82550 h 82550"/>
                            <a:gd name="connisteX3" fmla="*/ 80010 w 80010"/>
                            <a:gd name="connsiteY3" fmla="*/ 47625 h 82550"/>
                            <a:gd name="connisteX4" fmla="*/ 38735 w 80010"/>
                            <a:gd name="connsiteY4" fmla="*/ 0 h 82550"/>
                            <a:gd name="connisteX5" fmla="*/ 0 w 80010"/>
                            <a:gd name="connsiteY5" fmla="*/ 36830 h 8255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80010" h="82550">
                              <a:moveTo>
                                <a:pt x="0" y="36830"/>
                              </a:moveTo>
                              <a:lnTo>
                                <a:pt x="36830" y="73025"/>
                              </a:lnTo>
                              <a:lnTo>
                                <a:pt x="45085" y="82550"/>
                              </a:lnTo>
                              <a:lnTo>
                                <a:pt x="80010" y="47625"/>
                              </a:lnTo>
                              <a:lnTo>
                                <a:pt x="38735" y="0"/>
                              </a:lnTo>
                              <a:lnTo>
                                <a:pt x="0" y="36830"/>
                              </a:lnTo>
                              <a:close/>
                            </a:path>
                          </a:pathLst>
                        </a:custGeom>
                        <a:noFill/>
                        <a:ln w="6350">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47.3pt;margin-top:187.6pt;height:6pt;width:6pt;z-index:251745280;mso-width-relative:page;mso-height-relative:page;" filled="f" stroked="t" coordsize="80010,82550" o:gfxdata="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" path="m0,36830l36830,73025,45085,82550,80010,47625,38735,0,0,36830xe">
                <v:path o:connectlocs="0,33996;35076,67407;42938,76200;76200,43961;36890,0;0,33996" o:connectangles="0,0,0,0,0,0"/>
                <v:fill on="f" focussize="0,0"/>
                <v:stroke weight="0.5pt" color="#00B0F0 [2404]" joinstyle="round"/>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4256" behindDoc="0" locked="0" layoutInCell="1" allowOverlap="1">
                <wp:simplePos x="0" y="0"/>
                <wp:positionH relativeFrom="column">
                  <wp:posOffset>2643505</wp:posOffset>
                </wp:positionH>
                <wp:positionV relativeFrom="paragraph">
                  <wp:posOffset>2931160</wp:posOffset>
                </wp:positionV>
                <wp:extent cx="428625" cy="189230"/>
                <wp:effectExtent l="0" t="0" r="0" b="0"/>
                <wp:wrapNone/>
                <wp:docPr id="18" name="文本框 18"/>
                <wp:cNvGraphicFramePr/>
                <a:graphic xmlns:a="http://schemas.openxmlformats.org/drawingml/2006/main">
                  <a:graphicData uri="http://schemas.microsoft.com/office/word/2010/wordprocessingShape">
                    <wps:wsp>
                      <wps:cNvSpPr txBox="1"/>
                      <wps:spPr>
                        <a:xfrm rot="19020000">
                          <a:off x="3817620" y="3783965"/>
                          <a:ext cx="428625" cy="1892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D9C713">
                            <w:pPr>
                              <w:rPr>
                                <w:rFonts w:hint="default" w:eastAsia="宋体"/>
                                <w:b/>
                                <w:bCs/>
                                <w:color w:val="auto"/>
                                <w:sz w:val="15"/>
                                <w:szCs w:val="15"/>
                                <w:lang w:val="en-US" w:eastAsia="zh-CN"/>
                              </w:rPr>
                            </w:pPr>
                            <w:r>
                              <w:rPr>
                                <w:rFonts w:hint="eastAsia"/>
                                <w:b/>
                                <w:bCs/>
                                <w:color w:val="auto"/>
                                <w:sz w:val="15"/>
                                <w:szCs w:val="15"/>
                                <w:lang w:val="en-US" w:eastAsia="zh-CN"/>
                              </w:rPr>
                              <w:t>245m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8.15pt;margin-top:230.8pt;height:14.9pt;width:33.75pt;rotation:-2818048f;z-index:251744256;mso-width-relative:page;mso-height-relative:page;" filled="f" stroked="f" coordsize="21600,21600" o:gfxdata="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WXFxltkAAAALAQAA&#10;DwAAAAAAAAABACAAAAAiAAAAZHJzL2Rvd25yZXYueG1sUEsBAhQAFAAAAAgAh07iQOvZZzlRAgAA&#10;ggQAAA4AAAAAAAAAAQAgAAAAKAEAAGRycy9lMm9Eb2MueG1sUEsFBgAAAAAGAAYAWQEAAOsFAAAA&#10;AA==&#10;">
                <v:fill on="f" focussize="0,0"/>
                <v:stroke on="f" weight="0.5pt"/>
                <v:imagedata o:title=""/>
                <o:lock v:ext="edit" aspectratio="f"/>
                <v:textbox>
                  <w:txbxContent>
                    <w:p w14:paraId="51D9C713">
                      <w:pPr>
                        <w:rPr>
                          <w:rFonts w:hint="default" w:eastAsia="宋体"/>
                          <w:b/>
                          <w:bCs/>
                          <w:color w:val="auto"/>
                          <w:sz w:val="15"/>
                          <w:szCs w:val="15"/>
                          <w:lang w:val="en-US" w:eastAsia="zh-CN"/>
                        </w:rPr>
                      </w:pPr>
                      <w:r>
                        <w:rPr>
                          <w:rFonts w:hint="eastAsia"/>
                          <w:b/>
                          <w:bCs/>
                          <w:color w:val="auto"/>
                          <w:sz w:val="15"/>
                          <w:szCs w:val="15"/>
                          <w:lang w:val="en-US" w:eastAsia="zh-CN"/>
                        </w:rPr>
                        <w:t>245m</w:t>
                      </w:r>
                    </w:p>
                  </w:txbxContent>
                </v:textbox>
              </v:shape>
            </w:pict>
          </mc:Fallback>
        </mc:AlternateContent>
      </w:r>
      <w:r>
        <w:rPr>
          <w:color w:val="000000" w:themeColor="text1"/>
          <w:sz w:val="36"/>
          <w14:textFill>
            <w14:solidFill>
              <w14:schemeClr w14:val="tx1"/>
            </w14:solidFill>
          </w14:textFill>
        </w:rPr>
        <mc:AlternateContent>
          <mc:Choice Requires="wps">
            <w:drawing>
              <wp:anchor distT="0" distB="0" distL="114300" distR="114300" simplePos="0" relativeHeight="251720704" behindDoc="0" locked="0" layoutInCell="1" allowOverlap="1">
                <wp:simplePos x="0" y="0"/>
                <wp:positionH relativeFrom="column">
                  <wp:posOffset>2945765</wp:posOffset>
                </wp:positionH>
                <wp:positionV relativeFrom="paragraph">
                  <wp:posOffset>2190115</wp:posOffset>
                </wp:positionV>
                <wp:extent cx="514985" cy="561340"/>
                <wp:effectExtent l="113030" t="135255" r="125730" b="149860"/>
                <wp:wrapNone/>
                <wp:docPr id="174" name="矩形 174"/>
                <wp:cNvGraphicFramePr/>
                <a:graphic xmlns:a="http://schemas.openxmlformats.org/drawingml/2006/main">
                  <a:graphicData uri="http://schemas.microsoft.com/office/word/2010/wordprocessingShape">
                    <wps:wsp>
                      <wps:cNvSpPr/>
                      <wps:spPr>
                        <a:xfrm rot="2820000">
                          <a:off x="3356610" y="3149600"/>
                          <a:ext cx="514985" cy="561340"/>
                        </a:xfrm>
                        <a:prstGeom prst="rect">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1.95pt;margin-top:172.45pt;height:44.2pt;width:40.55pt;rotation:3080192f;z-index:251720704;v-text-anchor:middle;mso-width-relative:page;mso-height-relative:page;" filled="f" stroked="t" coordsize="21600,21600" o:gfxdata="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eq9nC1wAAAAsBAAAPAAAAAAAAAAEAIAAAACIAAABkcnMvZG93&#10;bnJldi54bWxQSwECFAAUAAAACACHTuJAsXsQUXMCAADRBAAADgAAAAAAAAABACAAAAAmAQAAZHJz&#10;L2Uyb0RvYy54bWxQSwUGAAAAAAYABgBZAQAACwYAAAAA&#10;">
                <v:fill on="f" focussize="0,0"/>
                <v:stroke weight="2pt" color="#FFFF00 [2404]" joinstyle="round"/>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31968" behindDoc="0" locked="0" layoutInCell="1" allowOverlap="1">
                <wp:simplePos x="0" y="0"/>
                <wp:positionH relativeFrom="column">
                  <wp:posOffset>3117850</wp:posOffset>
                </wp:positionH>
                <wp:positionV relativeFrom="paragraph">
                  <wp:posOffset>2405380</wp:posOffset>
                </wp:positionV>
                <wp:extent cx="125730" cy="111760"/>
                <wp:effectExtent l="34290" t="27305" r="44450" b="37465"/>
                <wp:wrapNone/>
                <wp:docPr id="110" name="矩形 110"/>
                <wp:cNvGraphicFramePr/>
                <a:graphic xmlns:a="http://schemas.openxmlformats.org/drawingml/2006/main">
                  <a:graphicData uri="http://schemas.microsoft.com/office/word/2010/wordprocessingShape">
                    <wps:wsp>
                      <wps:cNvSpPr/>
                      <wps:spPr>
                        <a:xfrm rot="2820000">
                          <a:off x="4219575" y="2844165"/>
                          <a:ext cx="125730" cy="111760"/>
                        </a:xfrm>
                        <a:prstGeom prst="rect">
                          <a:avLst/>
                        </a:prstGeom>
                        <a:noFill/>
                        <a:ln w="127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5pt;margin-top:189.4pt;height:8.8pt;width:9.9pt;rotation:3080192f;z-index:251731968;v-text-anchor:middle;mso-width-relative:page;mso-height-relative:page;" filled="f" stroked="t" coordsize="21600,21600" o:gfxdata="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C8fvGXZAAAACwEAAA8AAAAAAAAAAQAgAAAAIgAAAGRycy9k&#10;b3ducmV2LnhtbFBLAQIUABQAAAAIAIdO4kDuF6emcwIAANEEAAAOAAAAAAAAAAEAIAAAACgBAABk&#10;cnMvZTJvRG9jLnhtbFBLBQYAAAAABgAGAFkBAAANBgAAAAA=&#10;">
                <v:fill on="f" focussize="0,0"/>
                <v:stroke weight="1pt" color="#FF0000 [2404]" joinstyle="round"/>
                <v:imagedata o:title=""/>
                <o:lock v:ext="edit" aspectratio="f"/>
              </v:rect>
            </w:pict>
          </mc:Fallback>
        </mc:AlternateContent>
      </w:r>
      <w:r>
        <w:rPr>
          <w:color w:val="000000" w:themeColor="text1"/>
          <w:sz w:val="36"/>
          <w14:textFill>
            <w14:solidFill>
              <w14:schemeClr w14:val="tx1"/>
            </w14:solidFill>
          </w14:textFill>
        </w:rPr>
        <mc:AlternateContent>
          <mc:Choice Requires="wps">
            <w:drawing>
              <wp:anchor distT="0" distB="0" distL="114300" distR="114300" simplePos="0" relativeHeight="251736064" behindDoc="0" locked="0" layoutInCell="1" allowOverlap="1">
                <wp:simplePos x="0" y="0"/>
                <wp:positionH relativeFrom="column">
                  <wp:posOffset>2184400</wp:posOffset>
                </wp:positionH>
                <wp:positionV relativeFrom="paragraph">
                  <wp:posOffset>3089910</wp:posOffset>
                </wp:positionV>
                <wp:extent cx="506095" cy="365760"/>
                <wp:effectExtent l="118745" t="66040" r="125095" b="75565"/>
                <wp:wrapNone/>
                <wp:docPr id="9" name="矩形 9"/>
                <wp:cNvGraphicFramePr/>
                <a:graphic xmlns:a="http://schemas.openxmlformats.org/drawingml/2006/main">
                  <a:graphicData uri="http://schemas.microsoft.com/office/word/2010/wordprocessingShape">
                    <wps:wsp>
                      <wps:cNvSpPr/>
                      <wps:spPr>
                        <a:xfrm rot="3300000">
                          <a:off x="3299460" y="3834765"/>
                          <a:ext cx="506095" cy="365760"/>
                        </a:xfrm>
                        <a:prstGeom prst="rect">
                          <a:avLst/>
                        </a:prstGeom>
                        <a:noFill/>
                        <a:ln w="12700">
                          <a:solidFill>
                            <a:schemeClr val="accent6">
                              <a:lumMod val="75000"/>
                            </a:schemeClr>
                          </a:solidFill>
                          <a:prstDash val="sys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2pt;margin-top:243.3pt;height:28.8pt;width:39.85pt;rotation:3604480f;z-index:251736064;v-text-anchor:middle;mso-width-relative:page;mso-height-relative:page;" filled="f" stroked="t" coordsize="21600,21600" o:gfxdata="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NPpk2dcAAAALAQAADwAAAAAAAAAB&#10;ACAAAAAiAAAAZHJzL2Rvd25yZXYueG1sUEsBAhQAFAAAAAgAh07iQDhyi7uDAgAA8QQAAA4AAAAA&#10;AAAAAQAgAAAAJgEAAGRycy9lMm9Eb2MueG1sUEsFBgAAAAAGAAYAWQEAABsGAAAAAA==&#10;">
                <v:fill on="f" focussize="0,0"/>
                <v:stroke weight="1pt" color="#E46C0A [2409]" joinstyle="round" dashstyle="3 1"/>
                <v:imagedata o:title=""/>
                <o:lock v:ext="edit" aspectratio="f"/>
              </v:rect>
            </w:pict>
          </mc:Fallback>
        </mc:AlternateContent>
      </w:r>
      <w:r>
        <w:rPr>
          <w:rFonts w:hint="default" w:ascii="Times New Roman" w:hAnsi="Times New Roman" w:cs="Times New Roman"/>
          <w:color w:val="000000" w:themeColor="text1"/>
          <w:sz w:val="24"/>
          <w:highlight w:val="none"/>
          <w14:textFill>
            <w14:solidFill>
              <w14:schemeClr w14:val="tx1"/>
            </w14:solidFill>
          </w14:textFill>
        </w:rPr>
        <mc:AlternateContent>
          <mc:Choice Requires="wps">
            <w:drawing>
              <wp:anchor distT="0" distB="0" distL="114300" distR="114300" simplePos="0" relativeHeight="251695104" behindDoc="0" locked="0" layoutInCell="1" allowOverlap="1">
                <wp:simplePos x="0" y="0"/>
                <wp:positionH relativeFrom="column">
                  <wp:posOffset>1238885</wp:posOffset>
                </wp:positionH>
                <wp:positionV relativeFrom="paragraph">
                  <wp:posOffset>582295</wp:posOffset>
                </wp:positionV>
                <wp:extent cx="3917950" cy="3806190"/>
                <wp:effectExtent l="12700" t="12700" r="12700" b="29210"/>
                <wp:wrapNone/>
                <wp:docPr id="210" name="矩形 210"/>
                <wp:cNvGraphicFramePr/>
                <a:graphic xmlns:a="http://schemas.openxmlformats.org/drawingml/2006/main">
                  <a:graphicData uri="http://schemas.microsoft.com/office/word/2010/wordprocessingShape">
                    <wps:wsp>
                      <wps:cNvSpPr/>
                      <wps:spPr>
                        <a:xfrm>
                          <a:off x="3043555" y="2466340"/>
                          <a:ext cx="3917950" cy="3806190"/>
                        </a:xfrm>
                        <a:prstGeom prst="rect">
                          <a:avLst/>
                        </a:pr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7.55pt;margin-top:45.85pt;height:299.7pt;width:308.5pt;z-index:251695104;v-text-anchor:middle;mso-width-relative:page;mso-height-relative:page;" filled="f" stroked="t" coordsize="21600,21600" o:gfxdata="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AxscBLYAAAACgEAAA8AAAAAAAAAAQAgAAAAIgAAAGRycy9kb3ducmV2Lnht&#10;bFBLAQIUABQAAAAIAIdO4kDZLrxzawIAAMUEAAAOAAAAAAAAAAEAIAAAACcBAABkcnMvZTJvRG9j&#10;LnhtbFBLBQYAAAAABgAGAFkBAAAEBgAAAAA=&#10;">
                <v:fill on="f" focussize="0,0"/>
                <v:stroke weight="2pt" color="#00B050 [2404]" joinstyle="round"/>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3232" behindDoc="0" locked="0" layoutInCell="1" allowOverlap="1">
                <wp:simplePos x="0" y="0"/>
                <wp:positionH relativeFrom="column">
                  <wp:posOffset>2586990</wp:posOffset>
                </wp:positionH>
                <wp:positionV relativeFrom="paragraph">
                  <wp:posOffset>2493645</wp:posOffset>
                </wp:positionV>
                <wp:extent cx="603250" cy="674370"/>
                <wp:effectExtent l="0" t="3175" r="6350" b="8255"/>
                <wp:wrapNone/>
                <wp:docPr id="17" name="直接箭头连接符 17"/>
                <wp:cNvGraphicFramePr/>
                <a:graphic xmlns:a="http://schemas.openxmlformats.org/drawingml/2006/main">
                  <a:graphicData uri="http://schemas.microsoft.com/office/word/2010/wordprocessingShape">
                    <wps:wsp>
                      <wps:cNvCnPr>
                        <a:endCxn id="9" idx="0"/>
                      </wps:cNvCnPr>
                      <wps:spPr>
                        <a:xfrm flipH="1">
                          <a:off x="3722370" y="3338195"/>
                          <a:ext cx="603250" cy="674370"/>
                        </a:xfrm>
                        <a:prstGeom prst="straightConnector1">
                          <a:avLst/>
                        </a:prstGeom>
                        <a:ln w="9525">
                          <a:solidFill>
                            <a:schemeClr val="tx1"/>
                          </a:solidFill>
                          <a:prstDash val="sys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03.7pt;margin-top:196.35pt;height:53.1pt;width:47.5pt;z-index:251743232;mso-width-relative:page;mso-height-relative:page;" filled="f" stroked="t" coordsize="21600,21600" o:gfxdata="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q&#10;UOny2gAAAAsBAAAPAAAAAAAAAAEAIAAAACIAAABkcnMvZG93bnJldi54bWxQSwECFAAUAAAACACH&#10;TuJAQE3yTiICAAAMBAAADgAAAAAAAAABACAAAAApAQAAZHJzL2Uyb0RvYy54bWxQSwUGAAAAAAYA&#10;BgBZAQAAvQUAAAAA&#10;">
                <v:fill on="f" focussize="0,0"/>
                <v:stroke color="#000000 [3213]" joinstyle="round" dashstyle="3 1" endarrow="open"/>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0160" behindDoc="0" locked="0" layoutInCell="1" allowOverlap="1">
                <wp:simplePos x="0" y="0"/>
                <wp:positionH relativeFrom="column">
                  <wp:posOffset>7002780</wp:posOffset>
                </wp:positionH>
                <wp:positionV relativeFrom="paragraph">
                  <wp:posOffset>3157220</wp:posOffset>
                </wp:positionV>
                <wp:extent cx="75565" cy="75565"/>
                <wp:effectExtent l="0" t="0" r="635" b="635"/>
                <wp:wrapNone/>
                <wp:docPr id="13" name="椭圆 13"/>
                <wp:cNvGraphicFramePr/>
                <a:graphic xmlns:a="http://schemas.openxmlformats.org/drawingml/2006/main">
                  <a:graphicData uri="http://schemas.microsoft.com/office/word/2010/wordprocessingShape">
                    <wps:wsp>
                      <wps:cNvSpPr/>
                      <wps:spPr>
                        <a:xfrm>
                          <a:off x="8051165" y="4060825"/>
                          <a:ext cx="75565" cy="75565"/>
                        </a:xfrm>
                        <a:prstGeom prst="ellipse">
                          <a:avLst/>
                        </a:prstGeom>
                        <a:solidFill>
                          <a:srgbClr val="FFC000"/>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51.4pt;margin-top:248.6pt;height:5.95pt;width:5.95pt;z-index:251740160;v-text-anchor:middle;mso-width-relative:page;mso-height-relative:page;" fillcolor="#FFC000" filled="t" stroked="f" coordsize="21600,21600" o:gfxdata="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OqWB67bAAAADQEAAA8AAAAAAAAAAQAgAAAAIgAAAGRycy9kb3ducmV2&#10;LnhtbFBLAQIUABQAAAAIAIdO4kDUigfQawIAAMIEAAAOAAAAAAAAAAEAIAAAACoBAABkcnMvZTJv&#10;RG9jLnhtbFBLBQYAAAAABgAGAFkBAAAHBgAAAAA=&#10;">
                <v:fill on="t" focussize="0,0"/>
                <v:stroke on="f" weight="2pt"/>
                <v:imagedata o:title=""/>
                <o:lock v:ext="edit" aspectratio="f"/>
              </v:shape>
            </w:pict>
          </mc:Fallback>
        </mc:AlternateContent>
      </w:r>
      <w:r>
        <w:rPr>
          <w:rFonts w:hint="default" w:ascii="Times New Roman" w:hAnsi="Times New Roman" w:eastAsia="宋体" w:cs="Times New Roman"/>
          <w:color w:val="000000" w:themeColor="text1"/>
          <w:sz w:val="24"/>
          <w:highlight w:val="none"/>
          <w14:textFill>
            <w14:solidFill>
              <w14:schemeClr w14:val="tx1"/>
            </w14:solidFill>
          </w14:textFill>
        </w:rPr>
        <mc:AlternateContent>
          <mc:Choice Requires="wps">
            <w:drawing>
              <wp:anchor distT="0" distB="0" distL="114300" distR="114300" simplePos="0" relativeHeight="251687936" behindDoc="0" locked="0" layoutInCell="1" allowOverlap="1">
                <wp:simplePos x="0" y="0"/>
                <wp:positionH relativeFrom="column">
                  <wp:posOffset>6812280</wp:posOffset>
                </wp:positionH>
                <wp:positionV relativeFrom="paragraph">
                  <wp:posOffset>3460115</wp:posOffset>
                </wp:positionV>
                <wp:extent cx="406400" cy="200660"/>
                <wp:effectExtent l="9525" t="9525" r="22225" b="18415"/>
                <wp:wrapNone/>
                <wp:docPr id="99" name="矩形 428"/>
                <wp:cNvGraphicFramePr/>
                <a:graphic xmlns:a="http://schemas.openxmlformats.org/drawingml/2006/main">
                  <a:graphicData uri="http://schemas.microsoft.com/office/word/2010/wordprocessingShape">
                    <wps:wsp>
                      <wps:cNvSpPr/>
                      <wps:spPr>
                        <a:xfrm>
                          <a:off x="0" y="0"/>
                          <a:ext cx="406400" cy="200660"/>
                        </a:xfrm>
                        <a:prstGeom prst="rect">
                          <a:avLst/>
                        </a:prstGeom>
                        <a:noFill/>
                        <a:ln w="19050" cap="flat" cmpd="sng">
                          <a:solidFill>
                            <a:srgbClr val="00B050"/>
                          </a:solidFill>
                          <a:prstDash val="solid"/>
                          <a:miter/>
                          <a:headEnd type="none" w="med" len="med"/>
                          <a:tailEnd type="none" w="med" len="med"/>
                        </a:ln>
                      </wps:spPr>
                      <wps:bodyPr vert="horz" wrap="square" anchor="t" anchorCtr="0" upright="1"/>
                    </wps:wsp>
                  </a:graphicData>
                </a:graphic>
              </wp:anchor>
            </w:drawing>
          </mc:Choice>
          <mc:Fallback>
            <w:pict>
              <v:rect id="矩形 428" o:spid="_x0000_s1026" o:spt="1" style="position:absolute;left:0pt;margin-left:536.4pt;margin-top:272.45pt;height:15.8pt;width:32pt;z-index:251687936;mso-width-relative:page;mso-height-relative:page;" filled="f" stroked="t" coordsize="21600,21600" o:gfxdata="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G4C54tkAAAANAQAADwAA&#10;AAAAAAABACAAAAAiAAAAZHJzL2Rvd25yZXYueG1sUEsBAhQAFAAAAAgAh07iQEeVO3AVAgAAKwQA&#10;AA4AAAAAAAAAAQAgAAAAKAEAAGRycy9lMm9Eb2MueG1sUEsFBgAAAAAGAAYAWQEAAK8FAAAAAA==&#10;">
                <v:fill on="f" focussize="0,0"/>
                <v:stroke weight="1.5pt" color="#00B050" joinstyle="miter"/>
                <v:imagedata o:title=""/>
                <o:lock v:ext="edit" aspectratio="f"/>
              </v:rect>
            </w:pict>
          </mc:Fallback>
        </mc:AlternateContent>
      </w:r>
      <w:r>
        <w:rPr>
          <w:rFonts w:hint="default" w:ascii="Times New Roman" w:hAnsi="Times New Roman" w:eastAsia="宋体" w:cs="Times New Roman"/>
          <w:color w:val="000000" w:themeColor="text1"/>
          <w:sz w:val="24"/>
          <w:highlight w:val="none"/>
          <w14:textFill>
            <w14:solidFill>
              <w14:schemeClr w14:val="tx1"/>
            </w14:solidFill>
          </w14:textFill>
        </w:rPr>
        <w:drawing>
          <wp:inline distT="0" distB="0" distL="114300" distR="114300">
            <wp:extent cx="6176010" cy="5283835"/>
            <wp:effectExtent l="0" t="0" r="15240" b="12065"/>
            <wp:docPr id="19" name="图片 19" descr="9409ab66-15d6-4f70-b754-193d91720d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9409ab66-15d6-4f70-b754-193d91720d42"/>
                    <pic:cNvPicPr>
                      <a:picLocks noChangeAspect="1"/>
                    </pic:cNvPicPr>
                  </pic:nvPicPr>
                  <pic:blipFill>
                    <a:blip r:embed="rId36"/>
                    <a:stretch>
                      <a:fillRect/>
                    </a:stretch>
                  </pic:blipFill>
                  <pic:spPr>
                    <a:xfrm>
                      <a:off x="0" y="0"/>
                      <a:ext cx="6176010" cy="5283835"/>
                    </a:xfrm>
                    <a:prstGeom prst="rect">
                      <a:avLst/>
                    </a:prstGeom>
                  </pic:spPr>
                </pic:pic>
              </a:graphicData>
            </a:graphic>
          </wp:inline>
        </w:drawing>
      </w:r>
      <w:r>
        <w:rPr>
          <w:rFonts w:hint="default" w:ascii="Times New Roman" w:hAnsi="Times New Roman" w:eastAsia="宋体" w:cs="Times New Roman"/>
          <w:color w:val="000000" w:themeColor="text1"/>
          <w:sz w:val="24"/>
          <w:highlight w:val="none"/>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6833870</wp:posOffset>
                </wp:positionH>
                <wp:positionV relativeFrom="paragraph">
                  <wp:posOffset>3872865</wp:posOffset>
                </wp:positionV>
                <wp:extent cx="406400" cy="200660"/>
                <wp:effectExtent l="0" t="0" r="0" b="0"/>
                <wp:wrapNone/>
                <wp:docPr id="100" name="矩形 429"/>
                <wp:cNvGraphicFramePr/>
                <a:graphic xmlns:a="http://schemas.openxmlformats.org/drawingml/2006/main">
                  <a:graphicData uri="http://schemas.microsoft.com/office/word/2010/wordprocessingShape">
                    <wps:wsp>
                      <wps:cNvSpPr/>
                      <wps:spPr>
                        <a:xfrm>
                          <a:off x="0" y="0"/>
                          <a:ext cx="406400" cy="200660"/>
                        </a:xfrm>
                        <a:prstGeom prst="rect">
                          <a:avLst/>
                        </a:prstGeom>
                        <a:noFill/>
                        <a:ln w="19050" cap="flat" cmpd="sng">
                          <a:solidFill>
                            <a:srgbClr val="FFFF00"/>
                          </a:solidFill>
                          <a:prstDash val="solid"/>
                          <a:miter/>
                          <a:headEnd type="none" w="med" len="med"/>
                          <a:tailEnd type="none" w="med" len="med"/>
                        </a:ln>
                      </wps:spPr>
                      <wps:bodyPr vert="horz" wrap="square" anchor="t" anchorCtr="0" upright="1"/>
                    </wps:wsp>
                  </a:graphicData>
                </a:graphic>
              </wp:anchor>
            </w:drawing>
          </mc:Choice>
          <mc:Fallback>
            <w:pict>
              <v:rect id="矩形 429" o:spid="_x0000_s1026" o:spt="1" style="position:absolute;left:0pt;margin-left:538.1pt;margin-top:304.95pt;height:15.8pt;width:32pt;z-index:251688960;mso-width-relative:page;mso-height-relative:page;" filled="f" stroked="t" coordsize="21600,21600" o:gfxdata="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TlG/2AAAAA0BAAAPAAAAAAAA&#10;AAEAIAAAACIAAABkcnMvZG93bnJldi54bWxQSwECFAAUAAAACACHTuJA5Ou91BICAAAsBAAADgAA&#10;AAAAAAABACAAAAAnAQAAZHJzL2Uyb0RvYy54bWxQSwUGAAAAAAYABgBZAQAAqwUAAAAA&#10;">
                <v:fill on="f" focussize="0,0"/>
                <v:stroke weight="1.5pt" color="#FFFF00" joinstyle="miter"/>
                <v:imagedata o:title=""/>
                <o:lock v:ext="edit" aspectratio="f"/>
              </v:rect>
            </w:pict>
          </mc:Fallback>
        </mc:AlternateContent>
      </w:r>
      <w:r>
        <w:rPr>
          <w:rFonts w:hint="default" w:ascii="Times New Roman" w:hAnsi="Times New Roman" w:eastAsia="宋体" w:cs="Times New Roman"/>
          <w:color w:val="000000" w:themeColor="text1"/>
          <w:highlight w:val="none"/>
          <w14:textFill>
            <w14:solidFill>
              <w14:schemeClr w14:val="tx1"/>
            </w14:solidFill>
          </w14:textFill>
        </w:rPr>
        <w:drawing>
          <wp:anchor distT="0" distB="0" distL="114300" distR="114300" simplePos="0" relativeHeight="251677696" behindDoc="0" locked="0" layoutInCell="1" allowOverlap="1">
            <wp:simplePos x="0" y="0"/>
            <wp:positionH relativeFrom="column">
              <wp:posOffset>7591425</wp:posOffset>
            </wp:positionH>
            <wp:positionV relativeFrom="paragraph">
              <wp:posOffset>174625</wp:posOffset>
            </wp:positionV>
            <wp:extent cx="749300" cy="1003300"/>
            <wp:effectExtent l="0" t="0" r="0" b="0"/>
            <wp:wrapNone/>
            <wp:docPr id="7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16.png"/>
                    <pic:cNvPicPr>
                      <a:picLocks noChangeAspect="1"/>
                    </pic:cNvPicPr>
                  </pic:nvPicPr>
                  <pic:blipFill>
                    <a:blip r:embed="rId25"/>
                    <a:stretch>
                      <a:fillRect/>
                    </a:stretch>
                  </pic:blipFill>
                  <pic:spPr>
                    <a:xfrm>
                      <a:off x="0" y="0"/>
                      <a:ext cx="749300" cy="1003300"/>
                    </a:xfrm>
                    <a:prstGeom prst="rect">
                      <a:avLst/>
                    </a:prstGeom>
                    <a:noFill/>
                    <a:ln>
                      <a:noFill/>
                    </a:ln>
                  </pic:spPr>
                </pic:pic>
              </a:graphicData>
            </a:graphic>
          </wp:anchor>
        </w:drawing>
      </w:r>
      <w:r>
        <w:rPr>
          <w:rFonts w:hint="default" w:ascii="Times New Roman" w:hAnsi="Times New Roman" w:eastAsia="宋体" w:cs="Times New Roman"/>
          <w:color w:val="000000" w:themeColor="text1"/>
          <w:highlight w:val="none"/>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haracter">
                  <wp:posOffset>114300</wp:posOffset>
                </wp:positionH>
                <wp:positionV relativeFrom="line">
                  <wp:posOffset>4262755</wp:posOffset>
                </wp:positionV>
                <wp:extent cx="843915" cy="332740"/>
                <wp:effectExtent l="0" t="0" r="0" b="0"/>
                <wp:wrapNone/>
                <wp:docPr id="101" name="文本框 100"/>
                <wp:cNvGraphicFramePr/>
                <a:graphic xmlns:a="http://schemas.openxmlformats.org/drawingml/2006/main">
                  <a:graphicData uri="http://schemas.microsoft.com/office/word/2010/wordprocessingShape">
                    <wps:wsp>
                      <wps:cNvSpPr txBox="1"/>
                      <wps:spPr>
                        <a:xfrm>
                          <a:off x="0" y="0"/>
                          <a:ext cx="843915" cy="332740"/>
                        </a:xfrm>
                        <a:prstGeom prst="rect">
                          <a:avLst/>
                        </a:prstGeom>
                        <a:noFill/>
                        <a:ln w="6350">
                          <a:noFill/>
                        </a:ln>
                      </wps:spPr>
                      <wps:txbx>
                        <w:txbxContent>
                          <w:p w14:paraId="218361A8">
                            <w:r>
                              <w:rPr>
                                <w:rFonts w:hint="eastAsia"/>
                              </w:rPr>
                              <w:t>比例尺：</w:t>
                            </w:r>
                          </w:p>
                        </w:txbxContent>
                      </wps:txbx>
                      <wps:bodyPr wrap="square" upright="1"/>
                    </wps:wsp>
                  </a:graphicData>
                </a:graphic>
              </wp:anchor>
            </w:drawing>
          </mc:Choice>
          <mc:Fallback>
            <w:pict>
              <v:shape id="文本框 100" o:spid="_x0000_s1026" o:spt="202" type="#_x0000_t202" style="position:absolute;left:0pt;margin-left:9pt;margin-top:335.65pt;height:26.2pt;width:66.45pt;mso-position-horizontal-relative:char;mso-position-vertical-relative:line;z-index:251689984;mso-width-relative:page;mso-height-relative:page;" filled="f" stroked="f" coordsize="21600,21600" o:gfxdata="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vu0VW2wAAAAoBAAAPAAAAAAAAAAEAIAAAACIAAABkcnMvZG93bnJl&#10;di54bWxQSwECFAAUAAAACACHTuJAAikxH8EBAABoAwAADgAAAAAAAAABACAAAAAqAQAAZHJzL2Uy&#10;b0RvYy54bWxQSwUGAAAAAAYABgBZAQAAXQUAAAAA&#10;">
                <v:fill on="f" focussize="0,0"/>
                <v:stroke on="f" weight="0.5pt"/>
                <v:imagedata o:title=""/>
                <o:lock v:ext="edit" aspectratio="f"/>
                <v:textbox>
                  <w:txbxContent>
                    <w:p w14:paraId="218361A8">
                      <w:r>
                        <w:rPr>
                          <w:rFonts w:hint="eastAsia"/>
                        </w:rPr>
                        <w:t>比例尺：</w:t>
                      </w:r>
                    </w:p>
                  </w:txbxContent>
                </v:textbox>
              </v:shape>
            </w:pict>
          </mc:Fallback>
        </mc:AlternateContent>
      </w:r>
      <w:r>
        <w:rPr>
          <w:rFonts w:hint="default" w:ascii="Times New Roman" w:hAnsi="Times New Roman" w:eastAsia="宋体" w:cs="Times New Roman"/>
          <w:color w:val="000000" w:themeColor="text1"/>
          <w:highlight w:val="none"/>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haracter">
                  <wp:posOffset>276225</wp:posOffset>
                </wp:positionH>
                <wp:positionV relativeFrom="line">
                  <wp:posOffset>4579620</wp:posOffset>
                </wp:positionV>
                <wp:extent cx="358775" cy="71755"/>
                <wp:effectExtent l="0" t="0" r="0" b="0"/>
                <wp:wrapNone/>
                <wp:docPr id="103" name="矩形 237"/>
                <wp:cNvGraphicFramePr/>
                <a:graphic xmlns:a="http://schemas.openxmlformats.org/drawingml/2006/main">
                  <a:graphicData uri="http://schemas.microsoft.com/office/word/2010/wordprocessingShape">
                    <wps:wsp>
                      <wps:cNvSpPr/>
                      <wps:spPr>
                        <a:xfrm>
                          <a:off x="0" y="0"/>
                          <a:ext cx="358775" cy="71755"/>
                        </a:xfrm>
                        <a:prstGeom prst="rect">
                          <a:avLst/>
                        </a:prstGeom>
                        <a:solidFill>
                          <a:srgbClr val="000000"/>
                        </a:solidFill>
                        <a:ln w="19050" cap="flat" cmpd="sng">
                          <a:solidFill>
                            <a:srgbClr val="000000"/>
                          </a:solidFill>
                          <a:prstDash val="solid"/>
                          <a:miter/>
                          <a:headEnd type="none" w="med" len="med"/>
                          <a:tailEnd type="none" w="med" len="med"/>
                        </a:ln>
                      </wps:spPr>
                      <wps:bodyPr wrap="square" anchor="ctr" anchorCtr="0" upright="1"/>
                    </wps:wsp>
                  </a:graphicData>
                </a:graphic>
              </wp:anchor>
            </w:drawing>
          </mc:Choice>
          <mc:Fallback>
            <w:pict>
              <v:rect id="矩形 237" o:spid="_x0000_s1026" o:spt="1" style="position:absolute;left:0pt;margin-left:21.75pt;margin-top:360.6pt;height:5.65pt;width:28.25pt;mso-position-horizontal-relative:char;mso-position-vertical-relative:line;z-index:251692032;v-text-anchor:middle;mso-width-relative:page;mso-height-relative:page;" fillcolor="#000000" filled="t" stroked="t" coordsize="21600,21600" o:gfxdata="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GlF+PZAAAACgEAAA8AAAAAAAAA&#10;AQAgAAAAIgAAAGRycy9kb3ducmV2LnhtbFBLAQIUABQAAAAIAIdO4kCIylq3EAIAAEoEAAAOAAAA&#10;AAAAAAEAIAAAACgBAABkcnMvZTJvRG9jLnhtbFBLBQYAAAAABgAGAFkBAACqBQAAAAA=&#10;">
                <v:fill on="t" focussize="0,0"/>
                <v:stroke weight="1.5pt" color="#000000" joinstyle="miter"/>
                <v:imagedata o:title=""/>
                <o:lock v:ext="edit" aspectratio="f"/>
              </v:rect>
            </w:pict>
          </mc:Fallback>
        </mc:AlternateContent>
      </w:r>
      <w:r>
        <w:rPr>
          <w:rFonts w:hint="default" w:ascii="Times New Roman" w:hAnsi="Times New Roman" w:eastAsia="宋体" w:cs="Times New Roman"/>
          <w:color w:val="000000" w:themeColor="text1"/>
          <w:highlight w:val="none"/>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haracter">
                  <wp:posOffset>654050</wp:posOffset>
                </wp:positionH>
                <wp:positionV relativeFrom="line">
                  <wp:posOffset>4578350</wp:posOffset>
                </wp:positionV>
                <wp:extent cx="358775" cy="71755"/>
                <wp:effectExtent l="0" t="0" r="0" b="0"/>
                <wp:wrapNone/>
                <wp:docPr id="104" name="矩形 237"/>
                <wp:cNvGraphicFramePr/>
                <a:graphic xmlns:a="http://schemas.openxmlformats.org/drawingml/2006/main">
                  <a:graphicData uri="http://schemas.microsoft.com/office/word/2010/wordprocessingShape">
                    <wps:wsp>
                      <wps:cNvSpPr/>
                      <wps:spPr>
                        <a:xfrm>
                          <a:off x="0" y="0"/>
                          <a:ext cx="358775" cy="71755"/>
                        </a:xfrm>
                        <a:prstGeom prst="rect">
                          <a:avLst/>
                        </a:prstGeom>
                        <a:solidFill>
                          <a:srgbClr val="FF0000"/>
                        </a:solidFill>
                        <a:ln w="19050" cap="flat" cmpd="sng">
                          <a:solidFill>
                            <a:srgbClr val="FF0000"/>
                          </a:solidFill>
                          <a:prstDash val="solid"/>
                          <a:miter/>
                          <a:headEnd type="none" w="med" len="med"/>
                          <a:tailEnd type="none" w="med" len="med"/>
                        </a:ln>
                      </wps:spPr>
                      <wps:bodyPr vert="horz" wrap="square" anchor="ctr" anchorCtr="0" upright="1"/>
                    </wps:wsp>
                  </a:graphicData>
                </a:graphic>
              </wp:anchor>
            </w:drawing>
          </mc:Choice>
          <mc:Fallback>
            <w:pict>
              <v:rect id="矩形 237" o:spid="_x0000_s1026" o:spt="1" style="position:absolute;left:0pt;margin-left:51.5pt;margin-top:360.5pt;height:5.65pt;width:28.25pt;mso-position-horizontal-relative:char;mso-position-vertical-relative:line;z-index:251693056;v-text-anchor:middle;mso-width-relative:page;mso-height-relative:page;" fillcolor="#FF0000" filled="t" stroked="t" coordsize="21600,21600" o:gfxdata="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ya6jG2QAAAAsB&#10;AAAPAAAAAAAAAAEAIAAAACIAAABkcnMvZG93bnJldi54bWxQSwECFAAUAAAACACHTuJA10yzGhoC&#10;AABWBAAADgAAAAAAAAABACAAAAAoAQAAZHJzL2Uyb0RvYy54bWxQSwUGAAAAAAYABgBZAQAAtAUA&#10;AAAA&#10;">
                <v:fill on="t" focussize="0,0"/>
                <v:stroke weight="1.5pt" color="#FF0000" joinstyle="miter"/>
                <v:imagedata o:title=""/>
                <o:lock v:ext="edit" aspectratio="f"/>
              </v:rect>
            </w:pict>
          </mc:Fallback>
        </mc:AlternateContent>
      </w:r>
      <w:r>
        <w:rPr>
          <w:rFonts w:hint="default" w:ascii="Times New Roman" w:hAnsi="Times New Roman" w:eastAsia="宋体" w:cs="Times New Roman"/>
          <w:color w:val="000000" w:themeColor="text1"/>
          <w:highlight w:val="none"/>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haracter">
                  <wp:posOffset>1156970</wp:posOffset>
                </wp:positionH>
                <wp:positionV relativeFrom="line">
                  <wp:posOffset>3757295</wp:posOffset>
                </wp:positionV>
                <wp:extent cx="792480" cy="473075"/>
                <wp:effectExtent l="0" t="0" r="0" b="0"/>
                <wp:wrapNone/>
                <wp:docPr id="95" name="文本框 233"/>
                <wp:cNvGraphicFramePr/>
                <a:graphic xmlns:a="http://schemas.openxmlformats.org/drawingml/2006/main">
                  <a:graphicData uri="http://schemas.microsoft.com/office/word/2010/wordprocessingShape">
                    <wps:wsp>
                      <wps:cNvSpPr txBox="1"/>
                      <wps:spPr>
                        <a:xfrm>
                          <a:off x="0" y="0"/>
                          <a:ext cx="792480" cy="473075"/>
                        </a:xfrm>
                        <a:prstGeom prst="rect">
                          <a:avLst/>
                        </a:prstGeom>
                        <a:noFill/>
                        <a:ln w="6350">
                          <a:noFill/>
                        </a:ln>
                      </wps:spPr>
                      <wps:txbx>
                        <w:txbxContent>
                          <w:p w14:paraId="51EE5031">
                            <w:r>
                              <w:rPr>
                                <w:rFonts w:hint="eastAsia"/>
                              </w:rPr>
                              <w:t>噪声保护目标范围</w:t>
                            </w:r>
                          </w:p>
                        </w:txbxContent>
                      </wps:txbx>
                      <wps:bodyPr wrap="square" upright="1"/>
                    </wps:wsp>
                  </a:graphicData>
                </a:graphic>
              </wp:anchor>
            </w:drawing>
          </mc:Choice>
          <mc:Fallback>
            <w:pict>
              <v:shape id="文本框 233" o:spid="_x0000_s1026" o:spt="202" type="#_x0000_t202" style="position:absolute;left:0pt;margin-left:91.1pt;margin-top:295.85pt;height:37.25pt;width:62.4pt;mso-position-horizontal-relative:char;mso-position-vertical-relative:line;z-index:251685888;mso-width-relative:page;mso-height-relative:page;" filled="f" stroked="f" coordsize="21600,21600" o:gfxdata="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4fe5OdwAAAALAQAADwAAAAAAAAABACAAAAAiAAAAZHJzL2Rvd25y&#10;ZXYueG1sUEsBAhQAFAAAAAgAh07iQC4uuf7BAQAAZwMAAA4AAAAAAAAAAQAgAAAAKwEAAGRycy9l&#10;Mm9Eb2MueG1sUEsFBgAAAAAGAAYAWQEAAF4FAAAAAA==&#10;">
                <v:fill on="f" focussize="0,0"/>
                <v:stroke on="f" weight="0.5pt"/>
                <v:imagedata o:title=""/>
                <o:lock v:ext="edit" aspectratio="f"/>
                <v:textbox>
                  <w:txbxContent>
                    <w:p w14:paraId="51EE5031">
                      <w:r>
                        <w:rPr>
                          <w:rFonts w:hint="eastAsia"/>
                        </w:rPr>
                        <w:t>噪声保护目标范围</w:t>
                      </w:r>
                    </w:p>
                  </w:txbxContent>
                </v:textbox>
              </v:shape>
            </w:pict>
          </mc:Fallback>
        </mc:AlternateContent>
      </w:r>
      <w:r>
        <w:rPr>
          <w:rFonts w:hint="default" w:ascii="Times New Roman" w:hAnsi="Times New Roman" w:eastAsia="宋体" w:cs="Times New Roman"/>
          <w:color w:val="000000" w:themeColor="text1"/>
          <w:highlight w:val="none"/>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haracter">
                  <wp:posOffset>147955</wp:posOffset>
                </wp:positionH>
                <wp:positionV relativeFrom="line">
                  <wp:posOffset>4693920</wp:posOffset>
                </wp:positionV>
                <wp:extent cx="1134745" cy="257175"/>
                <wp:effectExtent l="0" t="0" r="0" b="0"/>
                <wp:wrapNone/>
                <wp:docPr id="102" name="文本框 241"/>
                <wp:cNvGraphicFramePr/>
                <a:graphic xmlns:a="http://schemas.openxmlformats.org/drawingml/2006/main">
                  <a:graphicData uri="http://schemas.microsoft.com/office/word/2010/wordprocessingShape">
                    <wps:wsp>
                      <wps:cNvSpPr txBox="1"/>
                      <wps:spPr>
                        <a:xfrm>
                          <a:off x="0" y="0"/>
                          <a:ext cx="1134745" cy="257175"/>
                        </a:xfrm>
                        <a:prstGeom prst="rect">
                          <a:avLst/>
                        </a:prstGeom>
                        <a:noFill/>
                        <a:ln w="6350">
                          <a:noFill/>
                        </a:ln>
                      </wps:spPr>
                      <wps:txbx>
                        <w:txbxContent>
                          <w:p w14:paraId="1B533579">
                            <w:pPr>
                              <w:ind w:left="210" w:hanging="210" w:hangingChars="100"/>
                            </w:pPr>
                            <w:r>
                              <w:rPr>
                                <w:rFonts w:hint="eastAsia"/>
                                <w:lang w:val="en-US" w:eastAsia="zh-CN"/>
                              </w:rPr>
                              <w:t>0m50m100</w:t>
                            </w:r>
                            <w:r>
                              <w:rPr>
                                <w:rFonts w:hint="eastAsia"/>
                              </w:rPr>
                              <w:t>m</w:t>
                            </w:r>
                          </w:p>
                        </w:txbxContent>
                      </wps:txbx>
                      <wps:bodyPr wrap="square" upright="1"/>
                    </wps:wsp>
                  </a:graphicData>
                </a:graphic>
              </wp:anchor>
            </w:drawing>
          </mc:Choice>
          <mc:Fallback>
            <w:pict>
              <v:shape id="文本框 241" o:spid="_x0000_s1026" o:spt="202" type="#_x0000_t202" style="position:absolute;left:0pt;margin-left:11.65pt;margin-top:369.6pt;height:20.25pt;width:89.35pt;mso-position-horizontal-relative:char;mso-position-vertical-relative:line;z-index:251691008;mso-width-relative:page;mso-height-relative:page;" filled="f" stroked="f" coordsize="21600,21600" o:gfxdata="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6QRh2gAAAAoBAAAPAAAAAAAAAAEAIAAAACIAAABkcnMvZG93bnJl&#10;di54bWxQSwECFAAUAAAACACHTuJAFv0lpsIBAABpAwAADgAAAAAAAAABACAAAAApAQAAZHJzL2Uy&#10;b0RvYy54bWxQSwUGAAAAAAYABgBZAQAAXQUAAAAA&#10;">
                <v:fill on="f" focussize="0,0"/>
                <v:stroke on="f" weight="0.5pt"/>
                <v:imagedata o:title=""/>
                <o:lock v:ext="edit" aspectratio="f"/>
                <v:textbox>
                  <w:txbxContent>
                    <w:p w14:paraId="1B533579">
                      <w:pPr>
                        <w:ind w:left="210" w:hanging="210" w:hangingChars="100"/>
                      </w:pPr>
                      <w:r>
                        <w:rPr>
                          <w:rFonts w:hint="eastAsia"/>
                          <w:lang w:val="en-US" w:eastAsia="zh-CN"/>
                        </w:rPr>
                        <w:t>0m50m100</w:t>
                      </w:r>
                      <w:r>
                        <w:rPr>
                          <w:rFonts w:hint="eastAsia"/>
                        </w:rPr>
                        <w:t>m</w:t>
                      </w:r>
                    </w:p>
                  </w:txbxContent>
                </v:textbox>
              </v:shape>
            </w:pict>
          </mc:Fallback>
        </mc:AlternateContent>
      </w:r>
      <w:r>
        <w:rPr>
          <w:rFonts w:hint="default" w:ascii="Times New Roman" w:hAnsi="Times New Roman" w:eastAsia="宋体" w:cs="Times New Roman"/>
          <w:color w:val="000000" w:themeColor="text1"/>
          <w:highlight w:val="none"/>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haracter">
                  <wp:posOffset>829310</wp:posOffset>
                </wp:positionH>
                <wp:positionV relativeFrom="line">
                  <wp:posOffset>3357245</wp:posOffset>
                </wp:positionV>
                <wp:extent cx="1032510" cy="476250"/>
                <wp:effectExtent l="0" t="0" r="0" b="0"/>
                <wp:wrapNone/>
                <wp:docPr id="96" name="文本框 233"/>
                <wp:cNvGraphicFramePr/>
                <a:graphic xmlns:a="http://schemas.openxmlformats.org/drawingml/2006/main">
                  <a:graphicData uri="http://schemas.microsoft.com/office/word/2010/wordprocessingShape">
                    <wps:wsp>
                      <wps:cNvSpPr txBox="1"/>
                      <wps:spPr>
                        <a:xfrm>
                          <a:off x="0" y="0"/>
                          <a:ext cx="1032510" cy="476250"/>
                        </a:xfrm>
                        <a:prstGeom prst="rect">
                          <a:avLst/>
                        </a:prstGeom>
                        <a:noFill/>
                        <a:ln w="6350">
                          <a:noFill/>
                        </a:ln>
                      </wps:spPr>
                      <wps:txbx>
                        <w:txbxContent>
                          <w:p w14:paraId="457C788E">
                            <w:pPr>
                              <w:ind w:left="420" w:leftChars="200" w:firstLine="0" w:firstLineChars="0"/>
                            </w:pPr>
                            <w:r>
                              <w:rPr>
                                <w:rFonts w:hint="eastAsia"/>
                              </w:rPr>
                              <w:t>大气保护目标范围</w:t>
                            </w:r>
                          </w:p>
                        </w:txbxContent>
                      </wps:txbx>
                      <wps:bodyPr wrap="square" upright="1"/>
                    </wps:wsp>
                  </a:graphicData>
                </a:graphic>
              </wp:anchor>
            </w:drawing>
          </mc:Choice>
          <mc:Fallback>
            <w:pict>
              <v:shape id="文本框 233" o:spid="_x0000_s1026" o:spt="202" type="#_x0000_t202" style="position:absolute;left:0pt;margin-left:65.3pt;margin-top:264.35pt;height:37.5pt;width:81.3pt;mso-position-horizontal-relative:char;mso-position-vertical-relative:line;z-index:251686912;mso-width-relative:page;mso-height-relative:page;" filled="f" stroked="f" coordsize="21600,21600" o:gfxdata="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t0VQ8twAAAALAQAADwAAAAAAAAABACAAAAAiAAAAZHJzL2Rvd25y&#10;ZXYueG1sUEsBAhQAFAAAAAgAh07iQNRtsYHBAQAAaAMAAA4AAAAAAAAAAQAgAAAAKwEAAGRycy9l&#10;Mm9Eb2MueG1sUEsFBgAAAAAGAAYAWQEAAF4FAAAAAA==&#10;">
                <v:fill on="f" focussize="0,0"/>
                <v:stroke on="f" weight="0.5pt"/>
                <v:imagedata o:title=""/>
                <o:lock v:ext="edit" aspectratio="f"/>
                <v:textbox>
                  <w:txbxContent>
                    <w:p w14:paraId="457C788E">
                      <w:pPr>
                        <w:ind w:left="420" w:leftChars="200" w:firstLine="0" w:firstLineChars="0"/>
                      </w:pPr>
                      <w:r>
                        <w:rPr>
                          <w:rFonts w:hint="eastAsia"/>
                        </w:rPr>
                        <w:t>大气保护目标范围</w:t>
                      </w:r>
                    </w:p>
                  </w:txbxContent>
                </v:textbox>
              </v:shape>
            </w:pict>
          </mc:Fallback>
        </mc:AlternateContent>
      </w:r>
      <w:r>
        <w:rPr>
          <w:rFonts w:hint="default" w:ascii="Times New Roman" w:hAnsi="Times New Roman" w:eastAsia="宋体" w:cs="Times New Roman"/>
          <w:color w:val="000000" w:themeColor="text1"/>
          <w:highlight w:val="none"/>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haracter">
                  <wp:posOffset>529590</wp:posOffset>
                </wp:positionH>
                <wp:positionV relativeFrom="line">
                  <wp:posOffset>1667510</wp:posOffset>
                </wp:positionV>
                <wp:extent cx="1365885" cy="2575560"/>
                <wp:effectExtent l="6350" t="6350" r="18415" b="8890"/>
                <wp:wrapNone/>
                <wp:docPr id="92" name="矩形 112"/>
                <wp:cNvGraphicFramePr/>
                <a:graphic xmlns:a="http://schemas.openxmlformats.org/drawingml/2006/main">
                  <a:graphicData uri="http://schemas.microsoft.com/office/word/2010/wordprocessingShape">
                    <wps:wsp>
                      <wps:cNvSpPr/>
                      <wps:spPr>
                        <a:xfrm>
                          <a:off x="0" y="0"/>
                          <a:ext cx="1365885" cy="2575560"/>
                        </a:xfrm>
                        <a:prstGeom prst="rect">
                          <a:avLst/>
                        </a:prstGeom>
                        <a:noFill/>
                        <a:ln w="12700" cap="flat" cmpd="sng">
                          <a:solidFill>
                            <a:srgbClr val="000000"/>
                          </a:solidFill>
                          <a:prstDash val="solid"/>
                          <a:miter/>
                          <a:headEnd type="none" w="med" len="med"/>
                          <a:tailEnd type="none" w="med" len="med"/>
                        </a:ln>
                      </wps:spPr>
                      <wps:bodyPr vert="horz" wrap="square" anchor="ctr" anchorCtr="0" upright="1"/>
                    </wps:wsp>
                  </a:graphicData>
                </a:graphic>
              </wp:anchor>
            </w:drawing>
          </mc:Choice>
          <mc:Fallback>
            <w:pict>
              <v:rect id="矩形 112" o:spid="_x0000_s1026" o:spt="1" style="position:absolute;left:0pt;margin-left:41.7pt;margin-top:131.3pt;height:202.8pt;width:107.55pt;mso-position-horizontal-relative:char;mso-position-vertical-relative:line;z-index:251682816;v-text-anchor:middle;mso-width-relative:page;mso-height-relative:page;" filled="f" stroked="t" coordsize="21600,21600" o:gfxdata="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CUQdDZAAAACgEA&#10;AA8AAAAAAAAAAQAgAAAAIgAAAGRycy9kb3ducmV2LnhtbFBLAQIUABQAAAAIAIdO4kBDj8KbGQIA&#10;AC8EAAAOAAAAAAAAAAEAIAAAACgBAABkcnMvZTJvRG9jLnhtbFBLBQYAAAAABgAGAFkBAACzBQAA&#10;AAA=&#10;">
                <v:fill on="f" focussize="0,0"/>
                <v:stroke weight="1pt" color="#000000" joinstyle="miter"/>
                <v:imagedata o:title=""/>
                <o:lock v:ext="edit" aspectratio="f"/>
              </v:rect>
            </w:pict>
          </mc:Fallback>
        </mc:AlternateContent>
      </w:r>
      <w:r>
        <w:rPr>
          <w:rFonts w:hint="default" w:ascii="Times New Roman" w:hAnsi="Times New Roman" w:eastAsia="宋体" w:cs="Times New Roman"/>
          <w:color w:val="000000" w:themeColor="text1"/>
          <w:highlight w:val="none"/>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haracter">
                  <wp:posOffset>553085</wp:posOffset>
                </wp:positionH>
                <wp:positionV relativeFrom="line">
                  <wp:posOffset>1668780</wp:posOffset>
                </wp:positionV>
                <wp:extent cx="654685" cy="332740"/>
                <wp:effectExtent l="0" t="0" r="0" b="0"/>
                <wp:wrapNone/>
                <wp:docPr id="93" name="文本框 100"/>
                <wp:cNvGraphicFramePr/>
                <a:graphic xmlns:a="http://schemas.openxmlformats.org/drawingml/2006/main">
                  <a:graphicData uri="http://schemas.microsoft.com/office/word/2010/wordprocessingShape">
                    <wps:wsp>
                      <wps:cNvSpPr txBox="1"/>
                      <wps:spPr>
                        <a:xfrm>
                          <a:off x="0" y="0"/>
                          <a:ext cx="654685" cy="332740"/>
                        </a:xfrm>
                        <a:prstGeom prst="rect">
                          <a:avLst/>
                        </a:prstGeom>
                        <a:noFill/>
                        <a:ln w="6350">
                          <a:noFill/>
                        </a:ln>
                      </wps:spPr>
                      <wps:txbx>
                        <w:txbxContent>
                          <w:p w14:paraId="4FF1405F">
                            <w:r>
                              <w:rPr>
                                <w:rFonts w:hint="eastAsia"/>
                              </w:rPr>
                              <w:t>图例：</w:t>
                            </w:r>
                          </w:p>
                        </w:txbxContent>
                      </wps:txbx>
                      <wps:bodyPr wrap="square" upright="1"/>
                    </wps:wsp>
                  </a:graphicData>
                </a:graphic>
              </wp:anchor>
            </w:drawing>
          </mc:Choice>
          <mc:Fallback>
            <w:pict>
              <v:shape id="文本框 100" o:spid="_x0000_s1026" o:spt="202" type="#_x0000_t202" style="position:absolute;left:0pt;margin-left:43.55pt;margin-top:131.4pt;height:26.2pt;width:51.55pt;mso-position-horizontal-relative:char;mso-position-vertical-relative:line;z-index:251683840;mso-width-relative:page;mso-height-relative:page;" filled="f" stroked="f" coordsize="21600,21600" o:gfxdata="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xrQhTaAAAACgEAAA8AAAAAAAAAAQAgAAAAIgAAAGRycy9kb3ducmV2&#10;LnhtbFBLAQIUABQAAAAIAIdO4kCOx7OHwQEAAGcDAAAOAAAAAAAAAAEAIAAAACkBAABkcnMvZTJv&#10;RG9jLnhtbFBLBQYAAAAABgAGAFkBAABcBQAAAAA=&#10;">
                <v:fill on="f" focussize="0,0"/>
                <v:stroke on="f" weight="0.5pt"/>
                <v:imagedata o:title=""/>
                <o:lock v:ext="edit" aspectratio="f"/>
                <v:textbox>
                  <w:txbxContent>
                    <w:p w14:paraId="4FF1405F">
                      <w:r>
                        <w:rPr>
                          <w:rFonts w:hint="eastAsia"/>
                        </w:rPr>
                        <w:t>图例：</w:t>
                      </w:r>
                    </w:p>
                  </w:txbxContent>
                </v:textbox>
              </v:shape>
            </w:pict>
          </mc:Fallback>
        </mc:AlternateContent>
      </w:r>
      <w:r>
        <w:rPr>
          <w:rFonts w:hint="default" w:ascii="Times New Roman" w:hAnsi="Times New Roman" w:eastAsia="宋体" w:cs="Times New Roman"/>
          <w:color w:val="000000" w:themeColor="text1"/>
          <w:highlight w:val="none"/>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haracter">
                  <wp:posOffset>1047750</wp:posOffset>
                </wp:positionH>
                <wp:positionV relativeFrom="line">
                  <wp:posOffset>1985645</wp:posOffset>
                </wp:positionV>
                <wp:extent cx="865505" cy="313690"/>
                <wp:effectExtent l="0" t="0" r="0" b="0"/>
                <wp:wrapNone/>
                <wp:docPr id="94" name="文本框 96"/>
                <wp:cNvGraphicFramePr/>
                <a:graphic xmlns:a="http://schemas.openxmlformats.org/drawingml/2006/main">
                  <a:graphicData uri="http://schemas.microsoft.com/office/word/2010/wordprocessingShape">
                    <wps:wsp>
                      <wps:cNvSpPr txBox="1"/>
                      <wps:spPr>
                        <a:xfrm>
                          <a:off x="0" y="0"/>
                          <a:ext cx="865505" cy="313690"/>
                        </a:xfrm>
                        <a:prstGeom prst="rect">
                          <a:avLst/>
                        </a:prstGeom>
                        <a:noFill/>
                        <a:ln w="6350">
                          <a:noFill/>
                        </a:ln>
                      </wps:spPr>
                      <wps:txbx>
                        <w:txbxContent>
                          <w:p w14:paraId="54210FB1">
                            <w:r>
                              <w:rPr>
                                <w:rFonts w:hint="eastAsia"/>
                              </w:rPr>
                              <w:t>本项目位置</w:t>
                            </w:r>
                          </w:p>
                        </w:txbxContent>
                      </wps:txbx>
                      <wps:bodyPr wrap="square" upright="1"/>
                    </wps:wsp>
                  </a:graphicData>
                </a:graphic>
              </wp:anchor>
            </w:drawing>
          </mc:Choice>
          <mc:Fallback>
            <w:pict>
              <v:shape id="文本框 96" o:spid="_x0000_s1026" o:spt="202" type="#_x0000_t202" style="position:absolute;left:0pt;margin-left:82.5pt;margin-top:156.35pt;height:24.7pt;width:68.15pt;mso-position-horizontal-relative:char;mso-position-vertical-relative:line;z-index:251684864;mso-width-relative:page;mso-height-relative:page;" filled="f" stroked="f" coordsize="21600,21600" o:gfxdata="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mh6mM2wAAAAsBAAAPAAAAAAAAAAEAIAAAACIAAABkcnMvZG93bnJl&#10;di54bWxQSwECFAAUAAAACACHTuJAUC/FAMEBAABmAwAADgAAAAAAAAABACAAAAAqAQAAZHJzL2Uy&#10;b0RvYy54bWxQSwUGAAAAAAYABgBZAQAAXQUAAAAA&#10;">
                <v:fill on="f" focussize="0,0"/>
                <v:stroke on="f" weight="0.5pt"/>
                <v:imagedata o:title=""/>
                <o:lock v:ext="edit" aspectratio="f"/>
                <v:textbox>
                  <w:txbxContent>
                    <w:p w14:paraId="54210FB1">
                      <w:r>
                        <w:rPr>
                          <w:rFonts w:hint="eastAsia"/>
                        </w:rPr>
                        <w:t>本项目位置</w:t>
                      </w:r>
                    </w:p>
                  </w:txbxContent>
                </v:textbox>
              </v:shape>
            </w:pict>
          </mc:Fallback>
        </mc:AlternateContent>
      </w:r>
    </w:p>
    <w:p w14:paraId="6CD13897">
      <w:pPr>
        <w:shd w:val="clear"/>
        <w:bidi w:val="0"/>
        <w:jc w:val="center"/>
        <w:rPr>
          <w:rFonts w:hint="default"/>
          <w:b/>
          <w:bCs/>
          <w:color w:val="000000" w:themeColor="text1"/>
          <w:sz w:val="36"/>
          <w:szCs w:val="36"/>
          <w:highlight w:val="none"/>
          <w:lang w:val="en-US" w:eastAsia="zh-CN"/>
          <w14:textFill>
            <w14:solidFill>
              <w14:schemeClr w14:val="tx1"/>
            </w14:solidFill>
          </w14:textFill>
        </w:rPr>
        <w:sectPr>
          <w:pgSz w:w="16838" w:h="11906" w:orient="landscape"/>
          <w:pgMar w:top="1531" w:right="1701" w:bottom="1531" w:left="1701" w:header="851" w:footer="850" w:gutter="0"/>
          <w:pgNumType w:fmt="decimal"/>
          <w:cols w:space="0" w:num="1"/>
          <w:rtlGutter w:val="0"/>
          <w:docGrid w:linePitch="312" w:charSpace="0"/>
        </w:sectPr>
      </w:pPr>
      <w:r>
        <w:rPr>
          <w:rFonts w:hint="default"/>
          <w:b/>
          <w:bCs/>
          <w:color w:val="000000" w:themeColor="text1"/>
          <w:sz w:val="36"/>
          <w:szCs w:val="36"/>
          <w:highlight w:val="none"/>
          <w:lang w:val="en-US" w:eastAsia="zh-CN"/>
          <w14:textFill>
            <w14:solidFill>
              <w14:schemeClr w14:val="tx1"/>
            </w14:solidFill>
          </w14:textFill>
        </w:rPr>
        <w:t>附图8</w:t>
      </w:r>
      <w:r>
        <w:rPr>
          <w:rFonts w:hint="eastAsia"/>
          <w:b/>
          <w:bCs/>
          <w:color w:val="000000" w:themeColor="text1"/>
          <w:sz w:val="36"/>
          <w:szCs w:val="36"/>
          <w:highlight w:val="none"/>
          <w:lang w:val="en-US" w:eastAsia="zh-CN"/>
          <w14:textFill>
            <w14:solidFill>
              <w14:schemeClr w14:val="tx1"/>
            </w14:solidFill>
          </w14:textFill>
        </w:rPr>
        <w:t>建设范围内环境</w:t>
      </w:r>
      <w:r>
        <w:rPr>
          <w:rFonts w:hint="default"/>
          <w:b/>
          <w:bCs/>
          <w:color w:val="000000" w:themeColor="text1"/>
          <w:sz w:val="36"/>
          <w:szCs w:val="36"/>
          <w:highlight w:val="none"/>
          <w:lang w:val="en-US" w:eastAsia="zh-CN"/>
          <w14:textFill>
            <w14:solidFill>
              <w14:schemeClr w14:val="tx1"/>
            </w14:solidFill>
          </w14:textFill>
        </w:rPr>
        <w:t>保护目标图</w:t>
      </w:r>
    </w:p>
    <w:p w14:paraId="3A395548">
      <w:pPr>
        <w:pStyle w:val="48"/>
        <w:shd w:val="clea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723776" behindDoc="0" locked="0" layoutInCell="1" allowOverlap="1">
                <wp:simplePos x="0" y="0"/>
                <wp:positionH relativeFrom="column">
                  <wp:posOffset>4119245</wp:posOffset>
                </wp:positionH>
                <wp:positionV relativeFrom="paragraph">
                  <wp:posOffset>3172460</wp:posOffset>
                </wp:positionV>
                <wp:extent cx="972185" cy="259715"/>
                <wp:effectExtent l="8890" t="4445" r="9525" b="231140"/>
                <wp:wrapNone/>
                <wp:docPr id="179" name="矩形标注 224"/>
                <wp:cNvGraphicFramePr/>
                <a:graphic xmlns:a="http://schemas.openxmlformats.org/drawingml/2006/main">
                  <a:graphicData uri="http://schemas.microsoft.com/office/word/2010/wordprocessingShape">
                    <wps:wsp>
                      <wps:cNvSpPr/>
                      <wps:spPr>
                        <a:xfrm>
                          <a:off x="0" y="0"/>
                          <a:ext cx="972185" cy="259715"/>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265E2CCC">
                            <w:pPr>
                              <w:jc w:val="both"/>
                              <w:rPr>
                                <w:i w:val="0"/>
                                <w:iCs w:val="0"/>
                                <w:sz w:val="24"/>
                              </w:rPr>
                            </w:pPr>
                            <w:r>
                              <w:rPr>
                                <w:rFonts w:hint="eastAsia" w:eastAsia="宋体"/>
                                <w:i w:val="0"/>
                                <w:iCs w:val="0"/>
                                <w:sz w:val="24"/>
                              </w:rPr>
                              <w:t>项目所在地</w:t>
                            </w:r>
                          </w:p>
                        </w:txbxContent>
                      </wps:txbx>
                      <wps:bodyPr vert="horz" wrap="square" anchor="t" anchorCtr="0" upright="1"/>
                    </wps:wsp>
                  </a:graphicData>
                </a:graphic>
              </wp:anchor>
            </w:drawing>
          </mc:Choice>
          <mc:Fallback>
            <w:pict>
              <v:shape id="矩形标注 224" o:spid="_x0000_s1026" o:spt="61" type="#_x0000_t61" style="position:absolute;left:0pt;margin-left:324.35pt;margin-top:249.8pt;height:20.45pt;width:76.55pt;z-index:251723776;mso-width-relative:page;mso-height-relative:page;" fillcolor="#FFFFFF" filled="t" stroked="t" coordsize="21600,21600" o:gfxdata="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Gdrd+&#10;2gAAAAsBAAAPAAAAAAAAAAEAIAAAACIAAABkcnMvZG93bnJldi54bWxQSwECFAAUAAAACACHTuJA&#10;vJnxIlgCAADEBAAADgAAAAAAAAABACAAAAApAQAAZHJzL2Uyb0RvYy54bWxQSwUGAAAAAAYABgBZ&#10;AQAA8wUAAAAA&#10;" adj="167,38696">
                <v:fill on="t" focussize="0,0"/>
                <v:stroke color="#000000" joinstyle="miter"/>
                <v:imagedata o:title=""/>
                <o:lock v:ext="edit" aspectratio="f"/>
                <v:textbox>
                  <w:txbxContent>
                    <w:p w14:paraId="265E2CCC">
                      <w:pPr>
                        <w:jc w:val="both"/>
                        <w:rPr>
                          <w:i w:val="0"/>
                          <w:iCs w:val="0"/>
                          <w:sz w:val="24"/>
                        </w:rPr>
                      </w:pPr>
                      <w:r>
                        <w:rPr>
                          <w:rFonts w:hint="eastAsia" w:eastAsia="宋体"/>
                          <w:i w:val="0"/>
                          <w:iCs w:val="0"/>
                          <w:sz w:val="24"/>
                        </w:rPr>
                        <w:t>项目所在地</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22752" behindDoc="0" locked="0" layoutInCell="1" allowOverlap="1">
                <wp:simplePos x="0" y="0"/>
                <wp:positionH relativeFrom="column">
                  <wp:posOffset>4068445</wp:posOffset>
                </wp:positionH>
                <wp:positionV relativeFrom="paragraph">
                  <wp:posOffset>3594735</wp:posOffset>
                </wp:positionV>
                <wp:extent cx="88900" cy="88900"/>
                <wp:effectExtent l="4445" t="4445" r="20955" b="20955"/>
                <wp:wrapNone/>
                <wp:docPr id="178" name="椭圆 80"/>
                <wp:cNvGraphicFramePr/>
                <a:graphic xmlns:a="http://schemas.openxmlformats.org/drawingml/2006/main">
                  <a:graphicData uri="http://schemas.microsoft.com/office/word/2010/wordprocessingShape">
                    <wps:wsp>
                      <wps:cNvSpPr/>
                      <wps:spPr>
                        <a:xfrm>
                          <a:off x="0" y="0"/>
                          <a:ext cx="88900" cy="88900"/>
                        </a:xfrm>
                        <a:prstGeom prst="ellipse">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80" o:spid="_x0000_s1026" o:spt="3" type="#_x0000_t3" style="position:absolute;left:0pt;margin-left:320.35pt;margin-top:283.05pt;height:7pt;width:7pt;z-index:251722752;mso-width-relative:page;mso-height-relative:page;" fillcolor="#FF0000" filled="t" stroked="t" coordsize="21600,21600" o:gfxdata="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fG/vd2QAAAAsBAAAPAAAA&#10;AAAAAAEAIAAAACIAAABkcnMvZG93bnJldi54bWxQSwECFAAUAAAACACHTuJA6QS08hQCAABKBAAA&#10;DgAAAAAAAAABACAAAAAoAQAAZHJzL2Uyb0RvYy54bWxQSwUGAAAAAAYABgBZAQAArgUAAAAA&#10;">
                <v:fill on="t" focussize="0,0"/>
                <v:stroke color="#000000" joinstyle="round"/>
                <v:imagedata o:title=""/>
                <o:lock v:ext="edit" aspectratio="f"/>
              </v:shape>
            </w:pict>
          </mc:Fallback>
        </mc:AlternateContent>
      </w:r>
      <w:r>
        <w:rPr>
          <w:rFonts w:hint="default"/>
          <w:b/>
          <w:bCs/>
          <w:color w:val="000000" w:themeColor="text1"/>
          <w:sz w:val="36"/>
          <w:szCs w:val="36"/>
          <w:highlight w:val="none"/>
          <w:lang w:val="en-US" w:eastAsia="zh-CN"/>
          <w14:textFill>
            <w14:solidFill>
              <w14:schemeClr w14:val="tx1"/>
            </w14:solidFill>
          </w14:textFill>
        </w:rPr>
        <w:drawing>
          <wp:anchor distT="0" distB="0" distL="114300" distR="114300" simplePos="0" relativeHeight="251721728" behindDoc="0" locked="0" layoutInCell="1" allowOverlap="1">
            <wp:simplePos x="0" y="0"/>
            <wp:positionH relativeFrom="column">
              <wp:posOffset>3580130</wp:posOffset>
            </wp:positionH>
            <wp:positionV relativeFrom="paragraph">
              <wp:posOffset>3145790</wp:posOffset>
            </wp:positionV>
            <wp:extent cx="1638300" cy="1472565"/>
            <wp:effectExtent l="0" t="0" r="0" b="13335"/>
            <wp:wrapNone/>
            <wp:docPr id="177" name="图片 177" descr="b6e864f7-8598-4a4c-ae77-f43bd78192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b6e864f7-8598-4a4c-ae77-f43bd78192ab"/>
                    <pic:cNvPicPr>
                      <a:picLocks noChangeAspect="1"/>
                    </pic:cNvPicPr>
                  </pic:nvPicPr>
                  <pic:blipFill>
                    <a:blip r:embed="rId37"/>
                    <a:stretch>
                      <a:fillRect/>
                    </a:stretch>
                  </pic:blipFill>
                  <pic:spPr>
                    <a:xfrm>
                      <a:off x="0" y="0"/>
                      <a:ext cx="1638300" cy="1472565"/>
                    </a:xfrm>
                    <a:prstGeom prst="rect">
                      <a:avLst/>
                    </a:prstGeom>
                  </pic:spPr>
                </pic:pic>
              </a:graphicData>
            </a:graphic>
          </wp:anchor>
        </w:drawing>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703296" behindDoc="0" locked="0" layoutInCell="1" allowOverlap="1">
                <wp:simplePos x="0" y="0"/>
                <wp:positionH relativeFrom="column">
                  <wp:posOffset>4008755</wp:posOffset>
                </wp:positionH>
                <wp:positionV relativeFrom="paragraph">
                  <wp:posOffset>2167890</wp:posOffset>
                </wp:positionV>
                <wp:extent cx="681990" cy="543560"/>
                <wp:effectExtent l="6350" t="6350" r="16510" b="21590"/>
                <wp:wrapNone/>
                <wp:docPr id="125" name="矩形 125"/>
                <wp:cNvGraphicFramePr/>
                <a:graphic xmlns:a="http://schemas.openxmlformats.org/drawingml/2006/main">
                  <a:graphicData uri="http://schemas.microsoft.com/office/word/2010/wordprocessingShape">
                    <wps:wsp>
                      <wps:cNvSpPr/>
                      <wps:spPr>
                        <a:xfrm>
                          <a:off x="3442335" y="1759585"/>
                          <a:ext cx="681990" cy="54356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5.65pt;margin-top:170.7pt;height:42.8pt;width:53.7pt;z-index:251703296;v-text-anchor:middle;mso-width-relative:page;mso-height-relative:page;" filled="f" stroked="t" coordsize="21600,21600" o:gfxdata="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O81kOXaAAAACwEAAA8AAAAAAAAAAQAgAAAAIgAAAGRycy9kb3ducmV2Lnht&#10;bFBLAQIUABQAAAAIAIdO4kAqi/B0aQIAAMMEAAAOAAAAAAAAAAEAIAAAACkBAABkcnMvZTJvRG9j&#10;LnhtbFBLBQYAAAAABgAGAFkBAAAEBgAAAAA=&#10;">
                <v:fill on="f" focussize="0,0"/>
                <v:stroke weight="1pt" color="#000000 [3213]" joinstyle="round"/>
                <v:imagedata o:title=""/>
                <o:lock v:ext="edit" aspectratio="f"/>
              </v:rect>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704320" behindDoc="0" locked="0" layoutInCell="1" allowOverlap="1">
                <wp:simplePos x="0" y="0"/>
                <wp:positionH relativeFrom="column">
                  <wp:posOffset>4349750</wp:posOffset>
                </wp:positionH>
                <wp:positionV relativeFrom="paragraph">
                  <wp:posOffset>2711450</wp:posOffset>
                </wp:positionV>
                <wp:extent cx="6350" cy="440055"/>
                <wp:effectExtent l="45720" t="0" r="62230" b="17145"/>
                <wp:wrapNone/>
                <wp:docPr id="127" name="直接箭头连接符 127"/>
                <wp:cNvGraphicFramePr/>
                <a:graphic xmlns:a="http://schemas.openxmlformats.org/drawingml/2006/main">
                  <a:graphicData uri="http://schemas.microsoft.com/office/word/2010/wordprocessingShape">
                    <wps:wsp>
                      <wps:cNvCnPr>
                        <a:stCxn id="125" idx="2"/>
                      </wps:cNvCnPr>
                      <wps:spPr>
                        <a:xfrm>
                          <a:off x="3813810" y="2445385"/>
                          <a:ext cx="6350" cy="44005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42.5pt;margin-top:213.5pt;height:34.65pt;width:0.5pt;z-index:251704320;mso-width-relative:page;mso-height-relative:page;" filled="f" stroked="t" coordsize="21600,21600" o:gfxdata="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Bae3ADbAAAACwEA&#10;AA8AAAAAAAAAAQAgAAAAIgAAAGRycy9kb3ducmV2LnhtbFBLAQIUABQAAAAIAIdO4kDFTsCUFwIA&#10;AAIEAAAOAAAAAAAAAAEAIAAAACoBAABkcnMvZTJvRG9jLnhtbFBLBQYAAAAABgAGAFkBAACzBQAA&#10;AAA=&#10;">
                <v:fill on="f" focussize="0,0"/>
                <v:stroke weight="1pt" color="#000000 [3213]" joinstyle="round" endarrow="open"/>
                <v:imagedata o:title=""/>
                <o:lock v:ext="edit" aspectratio="f"/>
              </v:shape>
            </w:pict>
          </mc:Fallback>
        </mc:AlternateConten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drawing>
          <wp:inline distT="0" distB="0" distL="114300" distR="114300">
            <wp:extent cx="7194550" cy="4839335"/>
            <wp:effectExtent l="0" t="0" r="0" b="0"/>
            <wp:docPr id="139" name="图片 21" descr="三线一单-图件【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21" descr="三线一单-图件【2024】"/>
                    <pic:cNvPicPr>
                      <a:picLocks noChangeAspect="1"/>
                    </pic:cNvPicPr>
                  </pic:nvPicPr>
                  <pic:blipFill>
                    <a:blip r:embed="rId38"/>
                    <a:stretch>
                      <a:fillRect/>
                    </a:stretch>
                  </pic:blipFill>
                  <pic:spPr>
                    <a:xfrm>
                      <a:off x="0" y="0"/>
                      <a:ext cx="7194550" cy="4839335"/>
                    </a:xfrm>
                    <a:prstGeom prst="rect">
                      <a:avLst/>
                    </a:prstGeom>
                    <a:noFill/>
                    <a:ln>
                      <a:noFill/>
                    </a:ln>
                  </pic:spPr>
                </pic:pic>
              </a:graphicData>
            </a:graphic>
          </wp:inline>
        </w:drawing>
      </w:r>
    </w:p>
    <w:p w14:paraId="20E40E1D">
      <w:pPr>
        <w:shd w:val="clea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13249ED7">
      <w:pPr>
        <w:shd w:val="clear"/>
        <w:bidi w:val="0"/>
        <w:jc w:val="center"/>
        <w:rPr>
          <w:rFonts w:hint="default"/>
          <w:b/>
          <w:bCs/>
          <w:color w:val="000000" w:themeColor="text1"/>
          <w:sz w:val="36"/>
          <w:szCs w:val="36"/>
          <w:highlight w:val="none"/>
          <w:lang w:val="en-US" w:eastAsia="zh-CN"/>
          <w14:textFill>
            <w14:solidFill>
              <w14:schemeClr w14:val="tx1"/>
            </w14:solidFill>
          </w14:textFill>
        </w:rPr>
        <w:sectPr>
          <w:pgSz w:w="16838" w:h="11906" w:orient="landscape"/>
          <w:pgMar w:top="1531" w:right="1701" w:bottom="1531" w:left="1701" w:header="851" w:footer="850" w:gutter="0"/>
          <w:pgNumType w:fmt="decimal"/>
          <w:cols w:space="0" w:num="1"/>
          <w:rtlGutter w:val="0"/>
          <w:docGrid w:linePitch="312" w:charSpace="0"/>
        </w:sectPr>
      </w:pPr>
      <w:bookmarkStart w:id="22" w:name="_Toc14453"/>
      <w:r>
        <w:rPr>
          <w:rFonts w:hint="default"/>
          <w:b/>
          <w:bCs/>
          <w:color w:val="000000" w:themeColor="text1"/>
          <w:sz w:val="36"/>
          <w:szCs w:val="36"/>
          <w:highlight w:val="none"/>
          <w:lang w:val="en-US" w:eastAsia="zh-CN"/>
          <w14:textFill>
            <w14:solidFill>
              <w14:schemeClr w14:val="tx1"/>
            </w14:solidFill>
          </w14:textFill>
        </w:rPr>
        <w:t>附图</w:t>
      </w:r>
      <w:r>
        <w:rPr>
          <w:rFonts w:hint="eastAsia"/>
          <w:b/>
          <w:bCs/>
          <w:color w:val="000000" w:themeColor="text1"/>
          <w:sz w:val="36"/>
          <w:szCs w:val="36"/>
          <w:highlight w:val="none"/>
          <w:lang w:val="en-US" w:eastAsia="zh-CN"/>
          <w14:textFill>
            <w14:solidFill>
              <w14:schemeClr w14:val="tx1"/>
            </w14:solidFill>
          </w14:textFill>
        </w:rPr>
        <w:t>9</w:t>
      </w:r>
      <w:r>
        <w:rPr>
          <w:rFonts w:hint="default"/>
          <w:b/>
          <w:bCs/>
          <w:color w:val="000000" w:themeColor="text1"/>
          <w:sz w:val="36"/>
          <w:szCs w:val="36"/>
          <w:highlight w:val="none"/>
          <w:lang w:val="en-US" w:eastAsia="zh-CN"/>
          <w14:textFill>
            <w14:solidFill>
              <w14:schemeClr w14:val="tx1"/>
            </w14:solidFill>
          </w14:textFill>
        </w:rPr>
        <w:t>中山市环境管控单元图</w:t>
      </w:r>
      <w:bookmarkEnd w:id="22"/>
    </w:p>
    <w:p w14:paraId="13F61A04">
      <w:pPr>
        <w:shd w:val="clea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mc:AlternateContent>
          <mc:Choice Requires="wpg">
            <w:drawing>
              <wp:anchor distT="0" distB="0" distL="114300" distR="114300" simplePos="0" relativeHeight="251678720" behindDoc="0" locked="0" layoutInCell="1" allowOverlap="1">
                <wp:simplePos x="0" y="0"/>
                <wp:positionH relativeFrom="column">
                  <wp:posOffset>3494405</wp:posOffset>
                </wp:positionH>
                <wp:positionV relativeFrom="paragraph">
                  <wp:posOffset>2472055</wp:posOffset>
                </wp:positionV>
                <wp:extent cx="1083310" cy="603250"/>
                <wp:effectExtent l="0" t="0" r="0" b="0"/>
                <wp:wrapNone/>
                <wp:docPr id="80" name="组合 91"/>
                <wp:cNvGraphicFramePr/>
                <a:graphic xmlns:a="http://schemas.openxmlformats.org/drawingml/2006/main">
                  <a:graphicData uri="http://schemas.microsoft.com/office/word/2010/wordprocessingGroup">
                    <wpg:wgp>
                      <wpg:cNvGrpSpPr/>
                      <wpg:grpSpPr>
                        <a:xfrm>
                          <a:off x="0" y="0"/>
                          <a:ext cx="1083310" cy="603250"/>
                          <a:chOff x="9440" y="496529"/>
                          <a:chExt cx="1641" cy="901"/>
                        </a:xfrm>
                      </wpg:grpSpPr>
                      <wps:wsp>
                        <wps:cNvPr id="78" name="矩形标注 224"/>
                        <wps:cNvSpPr/>
                        <wps:spPr>
                          <a:xfrm>
                            <a:off x="9551" y="496529"/>
                            <a:ext cx="1531" cy="430"/>
                          </a:xfrm>
                          <a:prstGeom prst="wedgeRectCallout">
                            <a:avLst>
                              <a:gd name="adj1" fmla="val -49227"/>
                              <a:gd name="adj2" fmla="val 129148"/>
                            </a:avLst>
                          </a:prstGeom>
                          <a:solidFill>
                            <a:srgbClr val="FFFFFF"/>
                          </a:solidFill>
                          <a:ln w="9525" cap="flat" cmpd="sng">
                            <a:solidFill>
                              <a:srgbClr val="000000"/>
                            </a:solidFill>
                            <a:prstDash val="solid"/>
                            <a:miter/>
                            <a:headEnd type="none" w="med" len="med"/>
                            <a:tailEnd type="none" w="med" len="med"/>
                          </a:ln>
                        </wps:spPr>
                        <wps:txbx>
                          <w:txbxContent>
                            <w:p w14:paraId="7975712F">
                              <w:pPr>
                                <w:rPr>
                                  <w:sz w:val="24"/>
                                </w:rPr>
                              </w:pPr>
                              <w:r>
                                <w:rPr>
                                  <w:rFonts w:hint="eastAsia" w:eastAsia="宋体"/>
                                  <w:sz w:val="24"/>
                                </w:rPr>
                                <w:t>项目所在地</w:t>
                              </w:r>
                            </w:p>
                          </w:txbxContent>
                        </wps:txbx>
                        <wps:bodyPr wrap="square" upright="1"/>
                      </wps:wsp>
                      <wps:wsp>
                        <wps:cNvPr id="79" name="椭圆 93"/>
                        <wps:cNvSpPr/>
                        <wps:spPr>
                          <a:xfrm>
                            <a:off x="9440" y="497290"/>
                            <a:ext cx="140" cy="140"/>
                          </a:xfrm>
                          <a:prstGeom prst="ellipse">
                            <a:avLst/>
                          </a:prstGeom>
                          <a:solidFill>
                            <a:srgbClr val="FF0000"/>
                          </a:solidFill>
                          <a:ln w="9525" cap="flat" cmpd="sng">
                            <a:solidFill>
                              <a:srgbClr val="000000"/>
                            </a:solidFill>
                            <a:prstDash val="solid"/>
                            <a:headEnd type="none" w="med" len="med"/>
                            <a:tailEnd type="none" w="med" len="med"/>
                          </a:ln>
                        </wps:spPr>
                        <wps:bodyPr wrap="square" upright="1"/>
                      </wps:wsp>
                    </wpg:wgp>
                  </a:graphicData>
                </a:graphic>
              </wp:anchor>
            </w:drawing>
          </mc:Choice>
          <mc:Fallback>
            <w:pict>
              <v:group id="组合 91" o:spid="_x0000_s1026" o:spt="203" style="position:absolute;left:0pt;margin-left:275.15pt;margin-top:194.65pt;height:47.5pt;width:85.3pt;z-index:251678720;mso-width-relative:page;mso-height-relative:page;" coordorigin="9440,496529" coordsize="1641,901" o:gfxdata="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">
                <o:lock v:ext="edit" aspectratio="f"/>
                <v:shape id="矩形标注 224" o:spid="_x0000_s1026" o:spt="61" type="#_x0000_t61" style="position:absolute;left:9551;top:496529;height:430;width:1531;" fillcolor="#FFFFFF" filled="t" stroked="t" coordsize="21600,21600" o:gfxdata="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1w2RugAAANsA&#10;AAAPAAAAAAAAAAEAIAAAACIAAABkcnMvZG93bnJldi54bWxQSwECFAAUAAAACACHTuJAMy8FnjsA&#10;AAA5AAAAEAAAAAAAAAABACAAAAAJAQAAZHJzL3NoYXBleG1sLnhtbFBLBQYAAAAABgAGAFsBAACz&#10;AwAAAAA=&#10;" adj="167,38696">
                  <v:fill on="t" focussize="0,0"/>
                  <v:stroke color="#000000" joinstyle="miter"/>
                  <v:imagedata o:title=""/>
                  <o:lock v:ext="edit" aspectratio="f"/>
                  <v:textbox>
                    <w:txbxContent>
                      <w:p w14:paraId="7975712F">
                        <w:pPr>
                          <w:rPr>
                            <w:sz w:val="24"/>
                          </w:rPr>
                        </w:pPr>
                        <w:r>
                          <w:rPr>
                            <w:rFonts w:hint="eastAsia" w:eastAsia="宋体"/>
                            <w:sz w:val="24"/>
                          </w:rPr>
                          <w:t>项目所在地</w:t>
                        </w:r>
                      </w:p>
                    </w:txbxContent>
                  </v:textbox>
                </v:shape>
                <v:shape id="椭圆 93" o:spid="_x0000_s1026" o:spt="3" type="#_x0000_t3" style="position:absolute;left:9440;top:497290;height:140;width:140;" fillcolor="#FF0000" filled="t" stroked="t" coordsize="21600,21600" o:gfxdata="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YGUhr4A&#10;AADbAAAADwAAAAAAAAABACAAAAAiAAAAZHJzL2Rvd25yZXYueG1sUEsBAhQAFAAAAAgAh07iQDMv&#10;BZ47AAAAOQAAABAAAAAAAAAAAQAgAAAADQEAAGRycy9zaGFwZXhtbC54bWxQSwUGAAAAAAYABgBb&#10;AQAAtwMAAAAA&#10;">
                  <v:fill on="t" focussize="0,0"/>
                  <v:stroke color="#000000" joinstyle="round"/>
                  <v:imagedata o:title=""/>
                  <o:lock v:ext="edit" aspectratio="f"/>
                </v:shape>
              </v:group>
            </w:pict>
          </mc:Fallback>
        </mc:AlternateContent>
      </w:r>
      <w:r>
        <w:rPr>
          <w:rFonts w:hint="default" w:ascii="Times New Roman" w:hAnsi="Times New Roman" w:eastAsia="宋体" w:cs="Times New Roman"/>
          <w:color w:val="000000" w:themeColor="text1"/>
          <w:highlight w:val="none"/>
          <w:lang w:val="en-US" w:eastAsia="zh-CN"/>
          <w14:textFill>
            <w14:solidFill>
              <w14:schemeClr w14:val="tx1"/>
            </w14:solidFill>
          </w14:textFill>
        </w:rPr>
        <w:drawing>
          <wp:inline distT="0" distB="0" distL="114300" distR="114300">
            <wp:extent cx="5215255" cy="7367905"/>
            <wp:effectExtent l="0" t="0" r="0" b="0"/>
            <wp:docPr id="140" name="图片 41" descr="53f9430147bed0c2091b54717b70d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41" descr="53f9430147bed0c2091b54717b70d63"/>
                    <pic:cNvPicPr>
                      <a:picLocks noChangeAspect="1"/>
                    </pic:cNvPicPr>
                  </pic:nvPicPr>
                  <pic:blipFill>
                    <a:blip r:embed="rId39"/>
                    <a:stretch>
                      <a:fillRect/>
                    </a:stretch>
                  </pic:blipFill>
                  <pic:spPr>
                    <a:xfrm>
                      <a:off x="0" y="0"/>
                      <a:ext cx="5215255" cy="7367905"/>
                    </a:xfrm>
                    <a:prstGeom prst="rect">
                      <a:avLst/>
                    </a:prstGeom>
                    <a:noFill/>
                    <a:ln>
                      <a:noFill/>
                    </a:ln>
                  </pic:spPr>
                </pic:pic>
              </a:graphicData>
            </a:graphic>
          </wp:inline>
        </w:drawing>
      </w:r>
    </w:p>
    <w:p w14:paraId="585FE9DC">
      <w:pPr>
        <w:shd w:val="clear"/>
        <w:jc w:val="center"/>
        <w:rPr>
          <w:rFonts w:hint="default"/>
          <w:color w:val="000000" w:themeColor="text1"/>
          <w:lang w:val="en-US" w:eastAsia="zh-CN"/>
          <w14:textFill>
            <w14:solidFill>
              <w14:schemeClr w14:val="tx1"/>
            </w14:solidFill>
          </w14:textFill>
        </w:rPr>
      </w:pPr>
      <w:r>
        <w:rPr>
          <w:rFonts w:hint="default"/>
          <w:b/>
          <w:bCs/>
          <w:color w:val="000000" w:themeColor="text1"/>
          <w:sz w:val="36"/>
          <w:szCs w:val="36"/>
          <w:highlight w:val="none"/>
          <w:lang w:val="en-US" w:eastAsia="zh-CN"/>
          <w14:textFill>
            <w14:solidFill>
              <w14:schemeClr w14:val="tx1"/>
            </w14:solidFill>
          </w14:textFill>
        </w:rPr>
        <w:t>附图</w:t>
      </w:r>
      <w:r>
        <w:rPr>
          <w:rFonts w:hint="eastAsia"/>
          <w:b/>
          <w:bCs/>
          <w:color w:val="000000" w:themeColor="text1"/>
          <w:sz w:val="36"/>
          <w:szCs w:val="36"/>
          <w:highlight w:val="none"/>
          <w:lang w:val="en-US" w:eastAsia="zh-CN"/>
          <w14:textFill>
            <w14:solidFill>
              <w14:schemeClr w14:val="tx1"/>
            </w14:solidFill>
          </w14:textFill>
        </w:rPr>
        <w:t>10</w:t>
      </w:r>
      <w:r>
        <w:rPr>
          <w:rFonts w:hint="default"/>
          <w:b/>
          <w:bCs/>
          <w:color w:val="000000" w:themeColor="text1"/>
          <w:sz w:val="36"/>
          <w:szCs w:val="36"/>
          <w:highlight w:val="none"/>
          <w:lang w:val="en-US" w:eastAsia="zh-CN"/>
          <w14:textFill>
            <w14:solidFill>
              <w14:schemeClr w14:val="tx1"/>
            </w14:solidFill>
          </w14:textFill>
        </w:rPr>
        <w:t>中山市地下水污染防治重点区划定</w:t>
      </w:r>
    </w:p>
    <w:sectPr>
      <w:footerReference r:id="rId12" w:type="default"/>
      <w:pgSz w:w="11906" w:h="16838"/>
      <w:pgMar w:top="1701" w:right="1531" w:bottom="1701" w:left="1531"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S Mincho">
    <w:altName w:val="MS UI Gothic"/>
    <w:panose1 w:val="02020609040205080304"/>
    <w:charset w:val="80"/>
    <w:family w:val="modern"/>
    <w:pitch w:val="default"/>
    <w:sig w:usb0="00000000" w:usb1="00000000" w:usb2="00000012" w:usb3="00000000" w:csb0="4002009F" w:csb1="DFD70000"/>
  </w:font>
  <w:font w:name="MS UI Gothic">
    <w:panose1 w:val="020B0600070205080204"/>
    <w:charset w:val="80"/>
    <w:family w:val="auto"/>
    <w:pitch w:val="default"/>
    <w:sig w:usb0="E00002FF" w:usb1="6AC7FDFB" w:usb2="08000012" w:usb3="00000000" w:csb0="4002009F" w:csb1="DFD70000"/>
  </w:font>
  <w:font w:name="仿宋">
    <w:panose1 w:val="02010609060101010101"/>
    <w:charset w:val="86"/>
    <w:family w:val="modern"/>
    <w:pitch w:val="default"/>
    <w:sig w:usb0="800002BF" w:usb1="38CF7CFA" w:usb2="00000016" w:usb3="00000000" w:csb0="00040001" w:csb1="00000000"/>
  </w:font>
  <w:font w:name="Impact">
    <w:panose1 w:val="020B0806030902050204"/>
    <w:charset w:val="00"/>
    <w:family w:val="swiss"/>
    <w:pitch w:val="default"/>
    <w:sig w:usb0="00000287" w:usb1="00000000" w:usb2="00000000" w:usb3="00000000" w:csb0="2000009F" w:csb1="DFD70000"/>
  </w:font>
  <w:font w:name="仿宋体">
    <w:altName w:val="楷体"/>
    <w:panose1 w:val="00000000000000000000"/>
    <w:charset w:val="86"/>
    <w:family w:val="roma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D7697">
    <w:pPr>
      <w:pStyle w:val="2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211B9">
    <w:pPr>
      <w:pStyle w:val="26"/>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 name="文本框 20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F2F21B">
                          <w:pPr>
                            <w:pStyle w:val="26"/>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08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r+RMz4QEAAMMDAAAOAAAA&#10;AAAAAAEAIAAAAB4BAABkcnMvZTJvRG9jLnhtbFBLBQYAAAAABgAGAFkBAABxBQAAAAA=&#10;">
              <v:fill on="f" focussize="0,0"/>
              <v:stroke on="f"/>
              <v:imagedata o:title=""/>
              <o:lock v:ext="edit" aspectratio="f"/>
              <v:textbox inset="0mm,0mm,0mm,0mm" style="mso-fit-shape-to-text:t;">
                <w:txbxContent>
                  <w:p w14:paraId="48F2F21B">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386A1">
    <w:pPr>
      <w:pStyle w:val="26"/>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 name="文本框 20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E785F6">
                          <w:pPr>
                            <w:pStyle w:val="26"/>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208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sA8SL4QEAAMMDAAAOAAAA&#10;AAAAAAEAIAAAAB4BAABkcnMvZTJvRG9jLnhtbFBLBQYAAAAABgAGAFkBAABxBQAAAAA=&#10;">
              <v:fill on="f" focussize="0,0"/>
              <v:stroke on="f"/>
              <v:imagedata o:title=""/>
              <o:lock v:ext="edit" aspectratio="f"/>
              <v:textbox inset="0mm,0mm,0mm,0mm" style="mso-fit-shape-to-text:t;">
                <w:txbxContent>
                  <w:p w14:paraId="10E785F6">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38B97">
    <w:pPr>
      <w:pStyle w:val="26"/>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 name="文本框 20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5CDAE2">
                          <w:pPr>
                            <w:pStyle w:val="26"/>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207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zktiP4QEAAMMDAAAOAAAA&#10;AAAAAAEAIAAAAB4BAABkcnMvZTJvRG9jLnhtbFBLBQYAAAAABgAGAFkBAABxBQAAAAA=&#10;">
              <v:fill on="f" focussize="0,0"/>
              <v:stroke on="f"/>
              <v:imagedata o:title=""/>
              <o:lock v:ext="edit" aspectratio="f"/>
              <v:textbox inset="0mm,0mm,0mm,0mm" style="mso-fit-shape-to-text:t;">
                <w:txbxContent>
                  <w:p w14:paraId="635CDAE2">
                    <w:pPr>
                      <w:pStyle w:val="26"/>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D9DB6">
    <w:pPr>
      <w:pStyle w:val="26"/>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 name="文本框 2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74D66D">
                          <w:pPr>
                            <w:pStyle w:val="26"/>
                          </w:pPr>
                          <w:r>
                            <w:fldChar w:fldCharType="begin"/>
                          </w:r>
                          <w:r>
                            <w:instrText xml:space="preserve"> PAGE  \* MERGEFORMAT </w:instrText>
                          </w:r>
                          <w:r>
                            <w:fldChar w:fldCharType="separate"/>
                          </w:r>
                          <w:r>
                            <w:t>50</w:t>
                          </w:r>
                          <w:r>
                            <w:fldChar w:fldCharType="end"/>
                          </w:r>
                        </w:p>
                      </w:txbxContent>
                    </wps:txbx>
                    <wps:bodyPr vert="horz" wrap="none" lIns="0" tIns="0" rIns="0" bIns="0" anchor="t" anchorCtr="0" upright="0">
                      <a:spAutoFit/>
                    </wps:bodyPr>
                  </wps:wsp>
                </a:graphicData>
              </a:graphic>
            </wp:anchor>
          </w:drawing>
        </mc:Choice>
        <mc:Fallback>
          <w:pict>
            <v:shape id="文本框 207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hUPU/+IBAADDAwAADgAA&#10;AAAAAAABACAAAAAeAQAAZHJzL2Uyb0RvYy54bWxQSwUGAAAAAAYABgBZAQAAcgUAAAAA&#10;">
              <v:fill on="f" focussize="0,0"/>
              <v:stroke on="f"/>
              <v:imagedata o:title=""/>
              <o:lock v:ext="edit" aspectratio="f"/>
              <v:textbox inset="0mm,0mm,0mm,0mm" style="mso-fit-shape-to-text:t;">
                <w:txbxContent>
                  <w:p w14:paraId="1374D66D">
                    <w:pPr>
                      <w:pStyle w:val="26"/>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C9444">
    <w:pPr>
      <w:pStyle w:val="26"/>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 name="文本框 20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B63190">
                          <w:pPr>
                            <w:pStyle w:val="26"/>
                          </w:pPr>
                          <w:r>
                            <w:fldChar w:fldCharType="begin"/>
                          </w:r>
                          <w:r>
                            <w:instrText xml:space="preserve"> PAGE  \* MERGEFORMAT </w:instrText>
                          </w:r>
                          <w:r>
                            <w:fldChar w:fldCharType="separate"/>
                          </w:r>
                          <w:r>
                            <w:t>51</w:t>
                          </w:r>
                          <w:r>
                            <w:fldChar w:fldCharType="end"/>
                          </w:r>
                        </w:p>
                      </w:txbxContent>
                    </wps:txbx>
                    <wps:bodyPr vert="horz" wrap="none" lIns="0" tIns="0" rIns="0" bIns="0" anchor="t" anchorCtr="0" upright="0">
                      <a:spAutoFit/>
                    </wps:bodyPr>
                  </wps:wsp>
                </a:graphicData>
              </a:graphic>
            </wp:anchor>
          </w:drawing>
        </mc:Choice>
        <mc:Fallback>
          <w:pict>
            <v:shape id="文本框 207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yVInX4QEAAMMDAAAOAAAA&#10;AAAAAAEAIAAAAB4BAABkcnMvZTJvRG9jLnhtbFBLBQYAAAAABgAGAFkBAABxBQAAAAA=&#10;">
              <v:fill on="f" focussize="0,0"/>
              <v:stroke on="f"/>
              <v:imagedata o:title=""/>
              <o:lock v:ext="edit" aspectratio="f"/>
              <v:textbox inset="0mm,0mm,0mm,0mm" style="mso-fit-shape-to-text:t;">
                <w:txbxContent>
                  <w:p w14:paraId="51B63190">
                    <w:pPr>
                      <w:pStyle w:val="26"/>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2691F">
    <w:pPr>
      <w:pStyle w:val="18"/>
      <w:spacing w:before="1" w:line="166" w:lineRule="auto"/>
      <w:ind w:left="6071"/>
      <w:rPr>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 name="文本框 20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C5FAC2">
                          <w:pPr>
                            <w:pStyle w:val="26"/>
                          </w:pPr>
                          <w:r>
                            <w:fldChar w:fldCharType="begin"/>
                          </w:r>
                          <w:r>
                            <w:instrText xml:space="preserve"> PAGE  \* MERGEFORMAT </w:instrText>
                          </w:r>
                          <w:r>
                            <w:fldChar w:fldCharType="separate"/>
                          </w:r>
                          <w:r>
                            <w:t>53</w:t>
                          </w:r>
                          <w:r>
                            <w:fldChar w:fldCharType="end"/>
                          </w:r>
                        </w:p>
                      </w:txbxContent>
                    </wps:txbx>
                    <wps:bodyPr vert="horz" wrap="none" lIns="0" tIns="0" rIns="0" bIns="0" anchor="t" anchorCtr="0" upright="0">
                      <a:spAutoFit/>
                    </wps:bodyPr>
                  </wps:wsp>
                </a:graphicData>
              </a:graphic>
            </wp:anchor>
          </w:drawing>
        </mc:Choice>
        <mc:Fallback>
          <w:pict>
            <v:shape id="文本框 2075"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BIWFp+IBAADDAwAADgAA&#10;AAAAAAABACAAAAAeAQAAZHJzL2Uyb0RvYy54bWxQSwUGAAAAAAYABgBZAQAAcgUAAAAA&#10;">
              <v:fill on="f" focussize="0,0"/>
              <v:stroke on="f"/>
              <v:imagedata o:title=""/>
              <o:lock v:ext="edit" aspectratio="f"/>
              <v:textbox inset="0mm,0mm,0mm,0mm" style="mso-fit-shape-to-text:t;">
                <w:txbxContent>
                  <w:p w14:paraId="04C5FAC2">
                    <w:pPr>
                      <w:pStyle w:val="26"/>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0458D">
    <w:pPr>
      <w:pStyle w:val="18"/>
      <w:spacing w:before="1" w:line="166" w:lineRule="auto"/>
      <w:ind w:left="5292"/>
      <w:rPr>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 name="文本框 20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872A8D">
                          <w:pPr>
                            <w:pStyle w:val="26"/>
                          </w:pPr>
                          <w:r>
                            <w:fldChar w:fldCharType="begin"/>
                          </w:r>
                          <w:r>
                            <w:instrText xml:space="preserve"> PAGE  \* MERGEFORMAT </w:instrText>
                          </w:r>
                          <w:r>
                            <w:fldChar w:fldCharType="separate"/>
                          </w:r>
                          <w:r>
                            <w:t>54</w:t>
                          </w:r>
                          <w:r>
                            <w:fldChar w:fldCharType="end"/>
                          </w:r>
                        </w:p>
                      </w:txbxContent>
                    </wps:txbx>
                    <wps:bodyPr vert="horz" wrap="none" lIns="0" tIns="0" rIns="0" bIns="0" anchor="t" anchorCtr="0" upright="0">
                      <a:spAutoFit/>
                    </wps:bodyPr>
                  </wps:wsp>
                </a:graphicData>
              </a:graphic>
            </wp:anchor>
          </w:drawing>
        </mc:Choice>
        <mc:Fallback>
          <w:pict>
            <v:shape id="文本框 207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PTxP74QEAAMMDAAAOAAAA&#10;AAAAAAEAIAAAAB4BAABkcnMvZTJvRG9jLnhtbFBLBQYAAAAABgAGAFkBAABxBQAAAAA=&#10;">
              <v:fill on="f" focussize="0,0"/>
              <v:stroke on="f"/>
              <v:imagedata o:title=""/>
              <o:lock v:ext="edit" aspectratio="f"/>
              <v:textbox inset="0mm,0mm,0mm,0mm" style="mso-fit-shape-to-text:t;">
                <w:txbxContent>
                  <w:p w14:paraId="3D872A8D">
                    <w:pPr>
                      <w:pStyle w:val="26"/>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08499">
    <w:pPr>
      <w:pStyle w:val="26"/>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C7B9C5">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0CC7B9C5">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9FD34">
    <w:pPr>
      <w:pStyle w:val="2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8D4B9E"/>
    <w:multiLevelType w:val="singleLevel"/>
    <w:tmpl w:val="9B8D4B9E"/>
    <w:lvl w:ilvl="0" w:tentative="0">
      <w:start w:val="8"/>
      <w:numFmt w:val="decimal"/>
      <w:suff w:val="nothing"/>
      <w:lvlText w:val="%1、"/>
      <w:lvlJc w:val="left"/>
    </w:lvl>
  </w:abstractNum>
  <w:abstractNum w:abstractNumId="1">
    <w:nsid w:val="C750F2FF"/>
    <w:multiLevelType w:val="singleLevel"/>
    <w:tmpl w:val="C750F2FF"/>
    <w:lvl w:ilvl="0" w:tentative="0">
      <w:start w:val="1"/>
      <w:numFmt w:val="decimal"/>
      <w:pStyle w:val="83"/>
      <w:suff w:val="nothing"/>
      <w:lvlText w:val="表%1 "/>
      <w:lvlJc w:val="left"/>
      <w:pPr>
        <w:tabs>
          <w:tab w:val="left" w:pos="0"/>
        </w:tabs>
      </w:pPr>
      <w:rPr>
        <w:rFonts w:hint="default" w:ascii="宋体" w:hAnsi="宋体" w:eastAsia="宋体" w:cs="宋体"/>
      </w:rPr>
    </w:lvl>
  </w:abstractNum>
  <w:abstractNum w:abstractNumId="2">
    <w:nsid w:val="E7A07471"/>
    <w:multiLevelType w:val="singleLevel"/>
    <w:tmpl w:val="E7A07471"/>
    <w:lvl w:ilvl="0" w:tentative="0">
      <w:start w:val="1"/>
      <w:numFmt w:val="decimal"/>
      <w:suff w:val="nothing"/>
      <w:lvlText w:val="%1、"/>
      <w:lvlJc w:val="left"/>
    </w:lvl>
  </w:abstractNum>
  <w:abstractNum w:abstractNumId="3">
    <w:nsid w:val="F7E9CDC2"/>
    <w:multiLevelType w:val="singleLevel"/>
    <w:tmpl w:val="F7E9CDC2"/>
    <w:lvl w:ilvl="0" w:tentative="0">
      <w:start w:val="2"/>
      <w:numFmt w:val="decimal"/>
      <w:suff w:val="nothing"/>
      <w:lvlText w:val="（%1）"/>
      <w:lvlJc w:val="left"/>
    </w:lvl>
  </w:abstractNum>
  <w:abstractNum w:abstractNumId="4">
    <w:nsid w:val="00000005"/>
    <w:multiLevelType w:val="multilevel"/>
    <w:tmpl w:val="00000005"/>
    <w:lvl w:ilvl="0" w:tentative="0">
      <w:start w:val="1"/>
      <w:numFmt w:val="decimal"/>
      <w:pStyle w:val="4"/>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8C46D79"/>
    <w:multiLevelType w:val="multilevel"/>
    <w:tmpl w:val="08C46D79"/>
    <w:lvl w:ilvl="0" w:tentative="0">
      <w:start w:val="1"/>
      <w:numFmt w:val="decimal"/>
      <w:pStyle w:val="6"/>
      <w:lvlText w:val="表%1"/>
      <w:lvlJc w:val="center"/>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F68B820"/>
    <w:multiLevelType w:val="singleLevel"/>
    <w:tmpl w:val="5F68B820"/>
    <w:lvl w:ilvl="0" w:tentative="0">
      <w:start w:val="1"/>
      <w:numFmt w:val="decimal"/>
      <w:pStyle w:val="81"/>
      <w:lvlText w:val="表%1."/>
      <w:lvlJc w:val="left"/>
      <w:pPr>
        <w:tabs>
          <w:tab w:val="left" w:pos="397"/>
        </w:tabs>
        <w:ind w:left="454" w:hanging="454"/>
      </w:pPr>
      <w:rPr>
        <w:rFonts w:hint="default"/>
      </w:rPr>
    </w:lvl>
  </w:abstractNum>
  <w:abstractNum w:abstractNumId="7">
    <w:nsid w:val="640789CC"/>
    <w:multiLevelType w:val="singleLevel"/>
    <w:tmpl w:val="640789CC"/>
    <w:lvl w:ilvl="0" w:tentative="0">
      <w:start w:val="6"/>
      <w:numFmt w:val="decimal"/>
      <w:suff w:val="nothing"/>
      <w:lvlText w:val="%1、"/>
      <w:lvlJc w:val="left"/>
    </w:lvl>
  </w:abstractNum>
  <w:abstractNum w:abstractNumId="8">
    <w:nsid w:val="7EC66276"/>
    <w:multiLevelType w:val="singleLevel"/>
    <w:tmpl w:val="7EC66276"/>
    <w:lvl w:ilvl="0" w:tentative="0">
      <w:start w:val="1"/>
      <w:numFmt w:val="bullet"/>
      <w:pStyle w:val="11"/>
      <w:lvlText w:val=""/>
      <w:lvlJc w:val="left"/>
      <w:pPr>
        <w:tabs>
          <w:tab w:val="left" w:pos="780"/>
        </w:tabs>
        <w:ind w:left="780" w:hanging="360"/>
      </w:pPr>
      <w:rPr>
        <w:rFonts w:hint="default" w:ascii="Wingdings" w:hAnsi="Wingdings"/>
      </w:rPr>
    </w:lvl>
  </w:abstractNum>
  <w:num w:numId="1">
    <w:abstractNumId w:val="4"/>
  </w:num>
  <w:num w:numId="2">
    <w:abstractNumId w:val="5"/>
  </w:num>
  <w:num w:numId="3">
    <w:abstractNumId w:val="8"/>
  </w:num>
  <w:num w:numId="4">
    <w:abstractNumId w:val="6"/>
  </w:num>
  <w:num w:numId="5">
    <w:abstractNumId w:val="1"/>
  </w:num>
  <w:num w:numId="6">
    <w:abstractNumId w:val="7"/>
  </w:num>
  <w:num w:numId="7">
    <w:abstractNumId w:val="0"/>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3OTA1MDZkZWIzN2UwYzFlOTA0NTIwZTZlMDQ4OGEifQ=="/>
  </w:docVars>
  <w:rsids>
    <w:rsidRoot w:val="00172A2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07350"/>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45E1B"/>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B14E5"/>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A4789"/>
    <w:rsid w:val="00AB1E09"/>
    <w:rsid w:val="00AB5330"/>
    <w:rsid w:val="00AB7747"/>
    <w:rsid w:val="00AC14CE"/>
    <w:rsid w:val="00AC2A56"/>
    <w:rsid w:val="00AD055E"/>
    <w:rsid w:val="00AD47A7"/>
    <w:rsid w:val="00AE30B0"/>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2F60"/>
    <w:rsid w:val="00BA7142"/>
    <w:rsid w:val="00BB237C"/>
    <w:rsid w:val="00BB41A3"/>
    <w:rsid w:val="00BC32DC"/>
    <w:rsid w:val="00BC35B6"/>
    <w:rsid w:val="00BD1B51"/>
    <w:rsid w:val="00BD4596"/>
    <w:rsid w:val="00BE1405"/>
    <w:rsid w:val="00BE312D"/>
    <w:rsid w:val="00BF1C20"/>
    <w:rsid w:val="00C10578"/>
    <w:rsid w:val="00C135BC"/>
    <w:rsid w:val="00C15C95"/>
    <w:rsid w:val="00C1710E"/>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30FAC"/>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082FC2"/>
    <w:rsid w:val="01290F7E"/>
    <w:rsid w:val="015D1E09"/>
    <w:rsid w:val="01700AE3"/>
    <w:rsid w:val="01830F08"/>
    <w:rsid w:val="018B1DB6"/>
    <w:rsid w:val="01B36BD0"/>
    <w:rsid w:val="01EB0C8D"/>
    <w:rsid w:val="01F30330"/>
    <w:rsid w:val="02427F54"/>
    <w:rsid w:val="024C3A81"/>
    <w:rsid w:val="02697903"/>
    <w:rsid w:val="026F71B4"/>
    <w:rsid w:val="02BA52C5"/>
    <w:rsid w:val="02BC3862"/>
    <w:rsid w:val="02F96569"/>
    <w:rsid w:val="0301396B"/>
    <w:rsid w:val="032A7E0C"/>
    <w:rsid w:val="032D29B2"/>
    <w:rsid w:val="03425C39"/>
    <w:rsid w:val="03501A3D"/>
    <w:rsid w:val="03BC3BDC"/>
    <w:rsid w:val="03BD5AE4"/>
    <w:rsid w:val="03D248F1"/>
    <w:rsid w:val="03EA7B21"/>
    <w:rsid w:val="0453373C"/>
    <w:rsid w:val="045A1585"/>
    <w:rsid w:val="04A0038C"/>
    <w:rsid w:val="04DC643E"/>
    <w:rsid w:val="04FA6940"/>
    <w:rsid w:val="051C2CDE"/>
    <w:rsid w:val="053578FC"/>
    <w:rsid w:val="054D78AF"/>
    <w:rsid w:val="057F0120"/>
    <w:rsid w:val="059960DD"/>
    <w:rsid w:val="05C0366A"/>
    <w:rsid w:val="05D2339D"/>
    <w:rsid w:val="05F83EAE"/>
    <w:rsid w:val="063858F6"/>
    <w:rsid w:val="063E7D85"/>
    <w:rsid w:val="06823015"/>
    <w:rsid w:val="06BD5DFB"/>
    <w:rsid w:val="071A324D"/>
    <w:rsid w:val="07293586"/>
    <w:rsid w:val="07295285"/>
    <w:rsid w:val="0744651C"/>
    <w:rsid w:val="07636392"/>
    <w:rsid w:val="07770C56"/>
    <w:rsid w:val="077C1812"/>
    <w:rsid w:val="07A97A7E"/>
    <w:rsid w:val="07BD51EE"/>
    <w:rsid w:val="0802440D"/>
    <w:rsid w:val="08326375"/>
    <w:rsid w:val="083B791F"/>
    <w:rsid w:val="08473E9E"/>
    <w:rsid w:val="084F5624"/>
    <w:rsid w:val="08E2550B"/>
    <w:rsid w:val="08EF7874"/>
    <w:rsid w:val="08FD2E27"/>
    <w:rsid w:val="092217DD"/>
    <w:rsid w:val="092E371C"/>
    <w:rsid w:val="092F6EDF"/>
    <w:rsid w:val="093A7294"/>
    <w:rsid w:val="0973691C"/>
    <w:rsid w:val="09A70D4C"/>
    <w:rsid w:val="09CA2D09"/>
    <w:rsid w:val="0A263993"/>
    <w:rsid w:val="0A2D3AC2"/>
    <w:rsid w:val="0AA755DF"/>
    <w:rsid w:val="0AC91212"/>
    <w:rsid w:val="0AD06E5C"/>
    <w:rsid w:val="0AF338CE"/>
    <w:rsid w:val="0B120D44"/>
    <w:rsid w:val="0B415DAA"/>
    <w:rsid w:val="0B4E1717"/>
    <w:rsid w:val="0B6D532E"/>
    <w:rsid w:val="0B700C87"/>
    <w:rsid w:val="0B8E26D6"/>
    <w:rsid w:val="0BC62CE6"/>
    <w:rsid w:val="0BD27BF6"/>
    <w:rsid w:val="0C307DB2"/>
    <w:rsid w:val="0C3B3C7D"/>
    <w:rsid w:val="0C8B26CC"/>
    <w:rsid w:val="0CA57A5D"/>
    <w:rsid w:val="0CAB2EAE"/>
    <w:rsid w:val="0D2901B0"/>
    <w:rsid w:val="0D3D1A44"/>
    <w:rsid w:val="0D524E83"/>
    <w:rsid w:val="0D621C7D"/>
    <w:rsid w:val="0D7731A8"/>
    <w:rsid w:val="0D8A1024"/>
    <w:rsid w:val="0DAD12E9"/>
    <w:rsid w:val="0E0F40AE"/>
    <w:rsid w:val="0E397F28"/>
    <w:rsid w:val="0E3B58C3"/>
    <w:rsid w:val="0E4F1A2E"/>
    <w:rsid w:val="0E6A6868"/>
    <w:rsid w:val="0E73034D"/>
    <w:rsid w:val="0F0207CC"/>
    <w:rsid w:val="0F13775A"/>
    <w:rsid w:val="0F5F45FE"/>
    <w:rsid w:val="0F953DB9"/>
    <w:rsid w:val="0F955B67"/>
    <w:rsid w:val="0F9A112B"/>
    <w:rsid w:val="0FB273E8"/>
    <w:rsid w:val="0FD50659"/>
    <w:rsid w:val="0FF259B5"/>
    <w:rsid w:val="0FFE195E"/>
    <w:rsid w:val="10173C40"/>
    <w:rsid w:val="106D2F64"/>
    <w:rsid w:val="106E1DC1"/>
    <w:rsid w:val="107437F2"/>
    <w:rsid w:val="10872705"/>
    <w:rsid w:val="109202F8"/>
    <w:rsid w:val="10945E1E"/>
    <w:rsid w:val="10B63710"/>
    <w:rsid w:val="10F10820"/>
    <w:rsid w:val="11034D52"/>
    <w:rsid w:val="111C2F7A"/>
    <w:rsid w:val="115E01DA"/>
    <w:rsid w:val="11665CA1"/>
    <w:rsid w:val="116C0B49"/>
    <w:rsid w:val="11826EDE"/>
    <w:rsid w:val="11BF451F"/>
    <w:rsid w:val="11D52407"/>
    <w:rsid w:val="12266F4A"/>
    <w:rsid w:val="122F5144"/>
    <w:rsid w:val="123A519F"/>
    <w:rsid w:val="127E0301"/>
    <w:rsid w:val="12803460"/>
    <w:rsid w:val="1288061D"/>
    <w:rsid w:val="12A260FD"/>
    <w:rsid w:val="13740BD6"/>
    <w:rsid w:val="13951726"/>
    <w:rsid w:val="13BC69D1"/>
    <w:rsid w:val="13FD12E9"/>
    <w:rsid w:val="1428639F"/>
    <w:rsid w:val="14396509"/>
    <w:rsid w:val="14611DEA"/>
    <w:rsid w:val="14C0346B"/>
    <w:rsid w:val="14C15EC3"/>
    <w:rsid w:val="14DD2C3C"/>
    <w:rsid w:val="150F3CC6"/>
    <w:rsid w:val="151876AE"/>
    <w:rsid w:val="15ED1BF5"/>
    <w:rsid w:val="16087E1D"/>
    <w:rsid w:val="16CA2137"/>
    <w:rsid w:val="16FD70D9"/>
    <w:rsid w:val="170C2C06"/>
    <w:rsid w:val="17316E86"/>
    <w:rsid w:val="17573BC4"/>
    <w:rsid w:val="17701D14"/>
    <w:rsid w:val="17735226"/>
    <w:rsid w:val="17BB0135"/>
    <w:rsid w:val="17BB6387"/>
    <w:rsid w:val="17CB5188"/>
    <w:rsid w:val="17CD749A"/>
    <w:rsid w:val="17D47448"/>
    <w:rsid w:val="17F7309F"/>
    <w:rsid w:val="181F6915"/>
    <w:rsid w:val="18351C95"/>
    <w:rsid w:val="1836159F"/>
    <w:rsid w:val="188E75F7"/>
    <w:rsid w:val="189F624C"/>
    <w:rsid w:val="18C33342"/>
    <w:rsid w:val="193F08F1"/>
    <w:rsid w:val="196C1A2A"/>
    <w:rsid w:val="196F7429"/>
    <w:rsid w:val="19B117EF"/>
    <w:rsid w:val="19DF179E"/>
    <w:rsid w:val="19E5593D"/>
    <w:rsid w:val="1A0A05D4"/>
    <w:rsid w:val="1A1C66C0"/>
    <w:rsid w:val="1A2C531A"/>
    <w:rsid w:val="1A42393B"/>
    <w:rsid w:val="1A4A39F2"/>
    <w:rsid w:val="1A88327D"/>
    <w:rsid w:val="1A89494D"/>
    <w:rsid w:val="1AAD45DE"/>
    <w:rsid w:val="1AE462AB"/>
    <w:rsid w:val="1B046F80"/>
    <w:rsid w:val="1B09565B"/>
    <w:rsid w:val="1B3267B5"/>
    <w:rsid w:val="1B40161D"/>
    <w:rsid w:val="1B441859"/>
    <w:rsid w:val="1B59213E"/>
    <w:rsid w:val="1B6606B1"/>
    <w:rsid w:val="1B7A16F6"/>
    <w:rsid w:val="1BDB2542"/>
    <w:rsid w:val="1C107CB5"/>
    <w:rsid w:val="1C4D015E"/>
    <w:rsid w:val="1C522367"/>
    <w:rsid w:val="1C5E7925"/>
    <w:rsid w:val="1C9571A6"/>
    <w:rsid w:val="1CC21F65"/>
    <w:rsid w:val="1CFD070F"/>
    <w:rsid w:val="1D0929C7"/>
    <w:rsid w:val="1D2B4787"/>
    <w:rsid w:val="1D5B3883"/>
    <w:rsid w:val="1D5C7CC4"/>
    <w:rsid w:val="1D5F6196"/>
    <w:rsid w:val="1D6132A5"/>
    <w:rsid w:val="1D7E40DE"/>
    <w:rsid w:val="1D8346DA"/>
    <w:rsid w:val="1D8E56D5"/>
    <w:rsid w:val="1D9F677B"/>
    <w:rsid w:val="1DB41087"/>
    <w:rsid w:val="1DF63C75"/>
    <w:rsid w:val="1E127BE4"/>
    <w:rsid w:val="1E1467F1"/>
    <w:rsid w:val="1E5849BE"/>
    <w:rsid w:val="1E7A43DA"/>
    <w:rsid w:val="1E862121"/>
    <w:rsid w:val="1EAF02C7"/>
    <w:rsid w:val="1EB904D1"/>
    <w:rsid w:val="1EEF6A9A"/>
    <w:rsid w:val="1F486752"/>
    <w:rsid w:val="1F6551A0"/>
    <w:rsid w:val="1F6D440A"/>
    <w:rsid w:val="1F6F0182"/>
    <w:rsid w:val="1F8E59B8"/>
    <w:rsid w:val="1FCE3F40"/>
    <w:rsid w:val="1FE7539E"/>
    <w:rsid w:val="205274AB"/>
    <w:rsid w:val="205D447F"/>
    <w:rsid w:val="20671BE0"/>
    <w:rsid w:val="206E3B8C"/>
    <w:rsid w:val="20963CB8"/>
    <w:rsid w:val="20A81A1B"/>
    <w:rsid w:val="20B07FB6"/>
    <w:rsid w:val="20B310D2"/>
    <w:rsid w:val="20B646FB"/>
    <w:rsid w:val="20BD4F1E"/>
    <w:rsid w:val="20F61D01"/>
    <w:rsid w:val="211C60E8"/>
    <w:rsid w:val="21293519"/>
    <w:rsid w:val="213B74B1"/>
    <w:rsid w:val="215A2310"/>
    <w:rsid w:val="21674E89"/>
    <w:rsid w:val="21DE318A"/>
    <w:rsid w:val="21EF5B80"/>
    <w:rsid w:val="21FC3824"/>
    <w:rsid w:val="22576990"/>
    <w:rsid w:val="2274431D"/>
    <w:rsid w:val="22CE76CE"/>
    <w:rsid w:val="22F47480"/>
    <w:rsid w:val="22FD5A3B"/>
    <w:rsid w:val="239537F5"/>
    <w:rsid w:val="23DE1C48"/>
    <w:rsid w:val="23EE53EE"/>
    <w:rsid w:val="240210CD"/>
    <w:rsid w:val="242552B4"/>
    <w:rsid w:val="245051B0"/>
    <w:rsid w:val="245501AD"/>
    <w:rsid w:val="24572958"/>
    <w:rsid w:val="246102B6"/>
    <w:rsid w:val="246A1AE5"/>
    <w:rsid w:val="24BF09F7"/>
    <w:rsid w:val="24CC3981"/>
    <w:rsid w:val="24FD3B3B"/>
    <w:rsid w:val="252D53FE"/>
    <w:rsid w:val="255C0E70"/>
    <w:rsid w:val="2566429C"/>
    <w:rsid w:val="25933680"/>
    <w:rsid w:val="25A77F4A"/>
    <w:rsid w:val="25BF34E6"/>
    <w:rsid w:val="25EC2D81"/>
    <w:rsid w:val="260929B3"/>
    <w:rsid w:val="263446D4"/>
    <w:rsid w:val="26504B30"/>
    <w:rsid w:val="26591245"/>
    <w:rsid w:val="26F9507E"/>
    <w:rsid w:val="27052670"/>
    <w:rsid w:val="270B02DB"/>
    <w:rsid w:val="270E63AA"/>
    <w:rsid w:val="27515C03"/>
    <w:rsid w:val="277057A2"/>
    <w:rsid w:val="27FA40D5"/>
    <w:rsid w:val="28461C9C"/>
    <w:rsid w:val="289138E7"/>
    <w:rsid w:val="28B10251"/>
    <w:rsid w:val="28C64EFF"/>
    <w:rsid w:val="29206EB8"/>
    <w:rsid w:val="29593D24"/>
    <w:rsid w:val="29595666"/>
    <w:rsid w:val="29874881"/>
    <w:rsid w:val="298F207C"/>
    <w:rsid w:val="299407E6"/>
    <w:rsid w:val="29BB2216"/>
    <w:rsid w:val="29D56336"/>
    <w:rsid w:val="29E325E0"/>
    <w:rsid w:val="2A452503"/>
    <w:rsid w:val="2AA62BC6"/>
    <w:rsid w:val="2AAD5B3A"/>
    <w:rsid w:val="2B116592"/>
    <w:rsid w:val="2B182D4E"/>
    <w:rsid w:val="2B285689"/>
    <w:rsid w:val="2B606BD1"/>
    <w:rsid w:val="2B65068C"/>
    <w:rsid w:val="2BA936A8"/>
    <w:rsid w:val="2BBD2276"/>
    <w:rsid w:val="2BE94E19"/>
    <w:rsid w:val="2C2A53A1"/>
    <w:rsid w:val="2C315A5A"/>
    <w:rsid w:val="2C4B1C25"/>
    <w:rsid w:val="2CCC3747"/>
    <w:rsid w:val="2D055488"/>
    <w:rsid w:val="2D7778CC"/>
    <w:rsid w:val="2D9E56F5"/>
    <w:rsid w:val="2DA07F1B"/>
    <w:rsid w:val="2DB72CF5"/>
    <w:rsid w:val="2DD66E58"/>
    <w:rsid w:val="2DEE1160"/>
    <w:rsid w:val="2DF45CF7"/>
    <w:rsid w:val="2E3B6964"/>
    <w:rsid w:val="2E425361"/>
    <w:rsid w:val="2E4809F4"/>
    <w:rsid w:val="2E667F96"/>
    <w:rsid w:val="2E6E40B7"/>
    <w:rsid w:val="2E8226AB"/>
    <w:rsid w:val="2EAB09D7"/>
    <w:rsid w:val="2EAC3C39"/>
    <w:rsid w:val="2EC4391B"/>
    <w:rsid w:val="2ED21461"/>
    <w:rsid w:val="2F0E0479"/>
    <w:rsid w:val="2FD065E6"/>
    <w:rsid w:val="2FD96870"/>
    <w:rsid w:val="2FE92C63"/>
    <w:rsid w:val="30183F1E"/>
    <w:rsid w:val="301E4E5D"/>
    <w:rsid w:val="303D78E2"/>
    <w:rsid w:val="30580BC9"/>
    <w:rsid w:val="306F572F"/>
    <w:rsid w:val="30AC5B0C"/>
    <w:rsid w:val="30C504CC"/>
    <w:rsid w:val="311E2ED7"/>
    <w:rsid w:val="315619EE"/>
    <w:rsid w:val="315C449C"/>
    <w:rsid w:val="317258B0"/>
    <w:rsid w:val="319770C5"/>
    <w:rsid w:val="31A44643"/>
    <w:rsid w:val="31B57D1D"/>
    <w:rsid w:val="31B82709"/>
    <w:rsid w:val="31D05482"/>
    <w:rsid w:val="31E56082"/>
    <w:rsid w:val="3200110E"/>
    <w:rsid w:val="32400B34"/>
    <w:rsid w:val="32790B1D"/>
    <w:rsid w:val="32891103"/>
    <w:rsid w:val="329E6876"/>
    <w:rsid w:val="32A63A63"/>
    <w:rsid w:val="32D32A27"/>
    <w:rsid w:val="32FF3BCE"/>
    <w:rsid w:val="3304403B"/>
    <w:rsid w:val="33254432"/>
    <w:rsid w:val="33292AF7"/>
    <w:rsid w:val="332E1CAB"/>
    <w:rsid w:val="333015F2"/>
    <w:rsid w:val="33354DE7"/>
    <w:rsid w:val="333E39C1"/>
    <w:rsid w:val="334B6320"/>
    <w:rsid w:val="33512D21"/>
    <w:rsid w:val="33B82BEC"/>
    <w:rsid w:val="33D32642"/>
    <w:rsid w:val="33D934D4"/>
    <w:rsid w:val="33E33B26"/>
    <w:rsid w:val="33FE2F6A"/>
    <w:rsid w:val="340E07E5"/>
    <w:rsid w:val="34235BF7"/>
    <w:rsid w:val="34B32468"/>
    <w:rsid w:val="34C54ECD"/>
    <w:rsid w:val="34DB0F65"/>
    <w:rsid w:val="34DE4EC9"/>
    <w:rsid w:val="3538296D"/>
    <w:rsid w:val="3546525E"/>
    <w:rsid w:val="35671B05"/>
    <w:rsid w:val="35852EFF"/>
    <w:rsid w:val="358C5FA8"/>
    <w:rsid w:val="35A12A09"/>
    <w:rsid w:val="35A43DDA"/>
    <w:rsid w:val="35A85683"/>
    <w:rsid w:val="35B30245"/>
    <w:rsid w:val="35C15DF1"/>
    <w:rsid w:val="35EE4665"/>
    <w:rsid w:val="36032F7B"/>
    <w:rsid w:val="36074A7F"/>
    <w:rsid w:val="360A473D"/>
    <w:rsid w:val="363C0481"/>
    <w:rsid w:val="365924F8"/>
    <w:rsid w:val="36923549"/>
    <w:rsid w:val="369411E0"/>
    <w:rsid w:val="36A55DE0"/>
    <w:rsid w:val="36B75FBF"/>
    <w:rsid w:val="36BD0C45"/>
    <w:rsid w:val="36F62AE0"/>
    <w:rsid w:val="3781140B"/>
    <w:rsid w:val="3791576F"/>
    <w:rsid w:val="37941808"/>
    <w:rsid w:val="37983B97"/>
    <w:rsid w:val="37A81FD1"/>
    <w:rsid w:val="37B05FEC"/>
    <w:rsid w:val="37C15077"/>
    <w:rsid w:val="37C87E10"/>
    <w:rsid w:val="37E00298"/>
    <w:rsid w:val="388008B3"/>
    <w:rsid w:val="388C54AA"/>
    <w:rsid w:val="38995E18"/>
    <w:rsid w:val="38AA01BD"/>
    <w:rsid w:val="38B248BB"/>
    <w:rsid w:val="38B25ACE"/>
    <w:rsid w:val="38B302F9"/>
    <w:rsid w:val="38EF5A38"/>
    <w:rsid w:val="38F12CD3"/>
    <w:rsid w:val="38F94775"/>
    <w:rsid w:val="39225E0E"/>
    <w:rsid w:val="392971ED"/>
    <w:rsid w:val="39325651"/>
    <w:rsid w:val="39730417"/>
    <w:rsid w:val="39755F3E"/>
    <w:rsid w:val="397A06E1"/>
    <w:rsid w:val="39821158"/>
    <w:rsid w:val="39873EC3"/>
    <w:rsid w:val="39B26C5B"/>
    <w:rsid w:val="39D52E80"/>
    <w:rsid w:val="3A160918"/>
    <w:rsid w:val="3A1C3DD2"/>
    <w:rsid w:val="3A282FB0"/>
    <w:rsid w:val="3A2D3FCE"/>
    <w:rsid w:val="3A362570"/>
    <w:rsid w:val="3A3E4582"/>
    <w:rsid w:val="3A4570F3"/>
    <w:rsid w:val="3A7601BF"/>
    <w:rsid w:val="3A872856"/>
    <w:rsid w:val="3AB97634"/>
    <w:rsid w:val="3AEC0481"/>
    <w:rsid w:val="3B3763D1"/>
    <w:rsid w:val="3B4F0A10"/>
    <w:rsid w:val="3B8B04F4"/>
    <w:rsid w:val="3BCB7DC8"/>
    <w:rsid w:val="3BF27D19"/>
    <w:rsid w:val="3BFD046C"/>
    <w:rsid w:val="3C047A4D"/>
    <w:rsid w:val="3C2F6E1E"/>
    <w:rsid w:val="3C456151"/>
    <w:rsid w:val="3C4F64BA"/>
    <w:rsid w:val="3C577566"/>
    <w:rsid w:val="3CA628B2"/>
    <w:rsid w:val="3CB56A3D"/>
    <w:rsid w:val="3CCE00C3"/>
    <w:rsid w:val="3CDA245A"/>
    <w:rsid w:val="3CE84C78"/>
    <w:rsid w:val="3D03201A"/>
    <w:rsid w:val="3D157871"/>
    <w:rsid w:val="3D1E06B7"/>
    <w:rsid w:val="3D2C258E"/>
    <w:rsid w:val="3D697CC1"/>
    <w:rsid w:val="3DA667C1"/>
    <w:rsid w:val="3E3C0716"/>
    <w:rsid w:val="3E4D7489"/>
    <w:rsid w:val="3E67004C"/>
    <w:rsid w:val="3E714E4A"/>
    <w:rsid w:val="3EDA0523"/>
    <w:rsid w:val="3EDE78D7"/>
    <w:rsid w:val="3EE6709F"/>
    <w:rsid w:val="3F461CB5"/>
    <w:rsid w:val="3F5775AF"/>
    <w:rsid w:val="3F577E93"/>
    <w:rsid w:val="3F6D12E2"/>
    <w:rsid w:val="3F811F24"/>
    <w:rsid w:val="3FBE7F13"/>
    <w:rsid w:val="3FF73B50"/>
    <w:rsid w:val="40580367"/>
    <w:rsid w:val="405C1C05"/>
    <w:rsid w:val="406F68CD"/>
    <w:rsid w:val="407A6407"/>
    <w:rsid w:val="4080519A"/>
    <w:rsid w:val="40C15F0C"/>
    <w:rsid w:val="40CF23D7"/>
    <w:rsid w:val="40ED567D"/>
    <w:rsid w:val="40F07927"/>
    <w:rsid w:val="413D0711"/>
    <w:rsid w:val="415901CA"/>
    <w:rsid w:val="4182744A"/>
    <w:rsid w:val="4200449D"/>
    <w:rsid w:val="42075CE5"/>
    <w:rsid w:val="4232127C"/>
    <w:rsid w:val="423A3BCC"/>
    <w:rsid w:val="424E57D2"/>
    <w:rsid w:val="427C5B2B"/>
    <w:rsid w:val="42B26C49"/>
    <w:rsid w:val="42CA7F23"/>
    <w:rsid w:val="42E06844"/>
    <w:rsid w:val="43181D4A"/>
    <w:rsid w:val="433803C4"/>
    <w:rsid w:val="433A6FE6"/>
    <w:rsid w:val="43480868"/>
    <w:rsid w:val="4350713C"/>
    <w:rsid w:val="436653E0"/>
    <w:rsid w:val="43B21B3C"/>
    <w:rsid w:val="43B4529D"/>
    <w:rsid w:val="43C4431A"/>
    <w:rsid w:val="43CC52F4"/>
    <w:rsid w:val="43D0401C"/>
    <w:rsid w:val="44B951CC"/>
    <w:rsid w:val="44C767E3"/>
    <w:rsid w:val="44CD14E0"/>
    <w:rsid w:val="44F20B0B"/>
    <w:rsid w:val="452E5F4C"/>
    <w:rsid w:val="45322F35"/>
    <w:rsid w:val="45462D9F"/>
    <w:rsid w:val="45612018"/>
    <w:rsid w:val="458946E9"/>
    <w:rsid w:val="45A02847"/>
    <w:rsid w:val="45A22C16"/>
    <w:rsid w:val="45A47C0E"/>
    <w:rsid w:val="45A52CD4"/>
    <w:rsid w:val="45AB536B"/>
    <w:rsid w:val="45EB3F14"/>
    <w:rsid w:val="45FD1795"/>
    <w:rsid w:val="46231CA9"/>
    <w:rsid w:val="46577FD6"/>
    <w:rsid w:val="467557CF"/>
    <w:rsid w:val="46794B93"/>
    <w:rsid w:val="467B6B5D"/>
    <w:rsid w:val="46D955A7"/>
    <w:rsid w:val="46E26BDC"/>
    <w:rsid w:val="46FD57C4"/>
    <w:rsid w:val="47133957"/>
    <w:rsid w:val="47347DD3"/>
    <w:rsid w:val="4752359F"/>
    <w:rsid w:val="475315B5"/>
    <w:rsid w:val="47541B6A"/>
    <w:rsid w:val="477A5376"/>
    <w:rsid w:val="477D4101"/>
    <w:rsid w:val="47A07E0C"/>
    <w:rsid w:val="47E26E94"/>
    <w:rsid w:val="4832542A"/>
    <w:rsid w:val="48651767"/>
    <w:rsid w:val="4870272E"/>
    <w:rsid w:val="48733F90"/>
    <w:rsid w:val="48BA5B0E"/>
    <w:rsid w:val="48F549A5"/>
    <w:rsid w:val="49555444"/>
    <w:rsid w:val="49877DC1"/>
    <w:rsid w:val="49886893"/>
    <w:rsid w:val="49A77419"/>
    <w:rsid w:val="49CB1BAA"/>
    <w:rsid w:val="49DC7715"/>
    <w:rsid w:val="49F7463D"/>
    <w:rsid w:val="4A023139"/>
    <w:rsid w:val="4A783AE0"/>
    <w:rsid w:val="4A7B576F"/>
    <w:rsid w:val="4A935683"/>
    <w:rsid w:val="4AB4263E"/>
    <w:rsid w:val="4AD056CA"/>
    <w:rsid w:val="4ADC6397"/>
    <w:rsid w:val="4AEC1DD8"/>
    <w:rsid w:val="4AF561A9"/>
    <w:rsid w:val="4B09298A"/>
    <w:rsid w:val="4B0E66AE"/>
    <w:rsid w:val="4B221C9D"/>
    <w:rsid w:val="4B7122DD"/>
    <w:rsid w:val="4B893B2E"/>
    <w:rsid w:val="4B9106E2"/>
    <w:rsid w:val="4BB723E6"/>
    <w:rsid w:val="4BD74836"/>
    <w:rsid w:val="4BF61160"/>
    <w:rsid w:val="4BFE1DC3"/>
    <w:rsid w:val="4C0D7455"/>
    <w:rsid w:val="4C172E84"/>
    <w:rsid w:val="4C4A0649"/>
    <w:rsid w:val="4C7E5ECA"/>
    <w:rsid w:val="4C876AA5"/>
    <w:rsid w:val="4D0E00FB"/>
    <w:rsid w:val="4D176606"/>
    <w:rsid w:val="4D3637DE"/>
    <w:rsid w:val="4D4D1254"/>
    <w:rsid w:val="4D5A3BC7"/>
    <w:rsid w:val="4D6640C3"/>
    <w:rsid w:val="4D783DF7"/>
    <w:rsid w:val="4DA71EFA"/>
    <w:rsid w:val="4DBA61BD"/>
    <w:rsid w:val="4DC922C3"/>
    <w:rsid w:val="4DD80C70"/>
    <w:rsid w:val="4DDF0BF0"/>
    <w:rsid w:val="4DE41C84"/>
    <w:rsid w:val="4DEC4FB0"/>
    <w:rsid w:val="4E075D8A"/>
    <w:rsid w:val="4E4E414A"/>
    <w:rsid w:val="4E615514"/>
    <w:rsid w:val="4E7F6587"/>
    <w:rsid w:val="4EC00FAD"/>
    <w:rsid w:val="4F0A2C17"/>
    <w:rsid w:val="4F6B3C13"/>
    <w:rsid w:val="4F8F4094"/>
    <w:rsid w:val="4F9843DC"/>
    <w:rsid w:val="4FB129C8"/>
    <w:rsid w:val="4FC62A8C"/>
    <w:rsid w:val="4FE20F0D"/>
    <w:rsid w:val="4FE51552"/>
    <w:rsid w:val="4FEE65F2"/>
    <w:rsid w:val="50504C4B"/>
    <w:rsid w:val="5076286F"/>
    <w:rsid w:val="509C6E7C"/>
    <w:rsid w:val="50B52C6C"/>
    <w:rsid w:val="50C17C4F"/>
    <w:rsid w:val="5116154D"/>
    <w:rsid w:val="5162104E"/>
    <w:rsid w:val="51B6604B"/>
    <w:rsid w:val="51CE29AD"/>
    <w:rsid w:val="52036385"/>
    <w:rsid w:val="52172115"/>
    <w:rsid w:val="525C7CEE"/>
    <w:rsid w:val="526C7ABA"/>
    <w:rsid w:val="52E37F64"/>
    <w:rsid w:val="53163E96"/>
    <w:rsid w:val="533D7674"/>
    <w:rsid w:val="536746F1"/>
    <w:rsid w:val="5377683A"/>
    <w:rsid w:val="53895131"/>
    <w:rsid w:val="539B23CA"/>
    <w:rsid w:val="53A039CC"/>
    <w:rsid w:val="53A1505A"/>
    <w:rsid w:val="53A5163D"/>
    <w:rsid w:val="53AF6B6F"/>
    <w:rsid w:val="54063E08"/>
    <w:rsid w:val="54104D89"/>
    <w:rsid w:val="541F4BA1"/>
    <w:rsid w:val="543437E8"/>
    <w:rsid w:val="544B77B8"/>
    <w:rsid w:val="545105C3"/>
    <w:rsid w:val="54672089"/>
    <w:rsid w:val="54AC75D5"/>
    <w:rsid w:val="54B254F9"/>
    <w:rsid w:val="54BF0D1B"/>
    <w:rsid w:val="54C6369A"/>
    <w:rsid w:val="54F73313"/>
    <w:rsid w:val="54F80955"/>
    <w:rsid w:val="55106F91"/>
    <w:rsid w:val="555170A7"/>
    <w:rsid w:val="55574519"/>
    <w:rsid w:val="5587536D"/>
    <w:rsid w:val="559B174B"/>
    <w:rsid w:val="55AC288F"/>
    <w:rsid w:val="55CE0CF4"/>
    <w:rsid w:val="55E22755"/>
    <w:rsid w:val="55FF6E63"/>
    <w:rsid w:val="562B0EED"/>
    <w:rsid w:val="564C7D16"/>
    <w:rsid w:val="566E7A93"/>
    <w:rsid w:val="56B22A9C"/>
    <w:rsid w:val="56B56DD5"/>
    <w:rsid w:val="56FA587C"/>
    <w:rsid w:val="575E4C41"/>
    <w:rsid w:val="57875362"/>
    <w:rsid w:val="57981DED"/>
    <w:rsid w:val="57B72A76"/>
    <w:rsid w:val="57C3426C"/>
    <w:rsid w:val="57CE1F93"/>
    <w:rsid w:val="57F52452"/>
    <w:rsid w:val="57F549C2"/>
    <w:rsid w:val="588743D1"/>
    <w:rsid w:val="5887701A"/>
    <w:rsid w:val="58973727"/>
    <w:rsid w:val="58B66E29"/>
    <w:rsid w:val="58CF5213"/>
    <w:rsid w:val="58D5034F"/>
    <w:rsid w:val="58E3481A"/>
    <w:rsid w:val="58E95FEA"/>
    <w:rsid w:val="58F75133"/>
    <w:rsid w:val="58FA1B64"/>
    <w:rsid w:val="590034EE"/>
    <w:rsid w:val="590F3861"/>
    <w:rsid w:val="5917409B"/>
    <w:rsid w:val="591F47CA"/>
    <w:rsid w:val="592B747B"/>
    <w:rsid w:val="593A054E"/>
    <w:rsid w:val="59A025BB"/>
    <w:rsid w:val="59C0439F"/>
    <w:rsid w:val="59C83A10"/>
    <w:rsid w:val="5A201A9E"/>
    <w:rsid w:val="5A33532D"/>
    <w:rsid w:val="5A736072"/>
    <w:rsid w:val="5A9046CB"/>
    <w:rsid w:val="5A9579AE"/>
    <w:rsid w:val="5ABE2233"/>
    <w:rsid w:val="5B2672B1"/>
    <w:rsid w:val="5B556F71"/>
    <w:rsid w:val="5BDF5D95"/>
    <w:rsid w:val="5BFE7528"/>
    <w:rsid w:val="5C0E3314"/>
    <w:rsid w:val="5C1B730A"/>
    <w:rsid w:val="5CDD54EA"/>
    <w:rsid w:val="5D015F6A"/>
    <w:rsid w:val="5D175274"/>
    <w:rsid w:val="5D603217"/>
    <w:rsid w:val="5D7B6862"/>
    <w:rsid w:val="5D812854"/>
    <w:rsid w:val="5DBF7C5D"/>
    <w:rsid w:val="5DFF085B"/>
    <w:rsid w:val="5E2467F1"/>
    <w:rsid w:val="5E2532E6"/>
    <w:rsid w:val="5E435D5B"/>
    <w:rsid w:val="5E532442"/>
    <w:rsid w:val="5E744166"/>
    <w:rsid w:val="5ED16751"/>
    <w:rsid w:val="5EDD1D0C"/>
    <w:rsid w:val="5F1A2B43"/>
    <w:rsid w:val="5F3A1F03"/>
    <w:rsid w:val="5FB23DA0"/>
    <w:rsid w:val="5FB837BB"/>
    <w:rsid w:val="5FDC758D"/>
    <w:rsid w:val="5FE94F7F"/>
    <w:rsid w:val="60037A11"/>
    <w:rsid w:val="605E50CE"/>
    <w:rsid w:val="60795A64"/>
    <w:rsid w:val="60932FCA"/>
    <w:rsid w:val="60BA0556"/>
    <w:rsid w:val="60C018E5"/>
    <w:rsid w:val="60CC405A"/>
    <w:rsid w:val="60CC7FE5"/>
    <w:rsid w:val="60E05C84"/>
    <w:rsid w:val="614147D4"/>
    <w:rsid w:val="61E215D8"/>
    <w:rsid w:val="61F17E5B"/>
    <w:rsid w:val="61F3268B"/>
    <w:rsid w:val="621B3775"/>
    <w:rsid w:val="622F0AD0"/>
    <w:rsid w:val="62364782"/>
    <w:rsid w:val="624B5626"/>
    <w:rsid w:val="625C563D"/>
    <w:rsid w:val="631D6B7A"/>
    <w:rsid w:val="633B5F5A"/>
    <w:rsid w:val="635C770C"/>
    <w:rsid w:val="636A01B7"/>
    <w:rsid w:val="636E3444"/>
    <w:rsid w:val="6394356A"/>
    <w:rsid w:val="63BE6151"/>
    <w:rsid w:val="63C61B2C"/>
    <w:rsid w:val="63D40BE9"/>
    <w:rsid w:val="64102431"/>
    <w:rsid w:val="64283A29"/>
    <w:rsid w:val="64356146"/>
    <w:rsid w:val="64622CD4"/>
    <w:rsid w:val="646F5DBB"/>
    <w:rsid w:val="647E5D3F"/>
    <w:rsid w:val="64833355"/>
    <w:rsid w:val="64A5243A"/>
    <w:rsid w:val="64B31AC5"/>
    <w:rsid w:val="64B44547"/>
    <w:rsid w:val="64E41ED7"/>
    <w:rsid w:val="64F531DE"/>
    <w:rsid w:val="650C6088"/>
    <w:rsid w:val="65136393"/>
    <w:rsid w:val="651E2C7C"/>
    <w:rsid w:val="65373578"/>
    <w:rsid w:val="655958F3"/>
    <w:rsid w:val="656211BC"/>
    <w:rsid w:val="65647D11"/>
    <w:rsid w:val="656E190F"/>
    <w:rsid w:val="65D07CD0"/>
    <w:rsid w:val="65D45B35"/>
    <w:rsid w:val="662E6E1C"/>
    <w:rsid w:val="663C52BA"/>
    <w:rsid w:val="66653ED0"/>
    <w:rsid w:val="66693F13"/>
    <w:rsid w:val="66892FFD"/>
    <w:rsid w:val="66BC60B3"/>
    <w:rsid w:val="66DC6107"/>
    <w:rsid w:val="66F6096B"/>
    <w:rsid w:val="670342D9"/>
    <w:rsid w:val="671F124A"/>
    <w:rsid w:val="67295207"/>
    <w:rsid w:val="674768BC"/>
    <w:rsid w:val="67585E9F"/>
    <w:rsid w:val="677A33C6"/>
    <w:rsid w:val="67E92C1E"/>
    <w:rsid w:val="681F5143"/>
    <w:rsid w:val="681F6961"/>
    <w:rsid w:val="68610A2F"/>
    <w:rsid w:val="686447F2"/>
    <w:rsid w:val="68805514"/>
    <w:rsid w:val="68AD274F"/>
    <w:rsid w:val="691B1DAE"/>
    <w:rsid w:val="692A0243"/>
    <w:rsid w:val="69316E2F"/>
    <w:rsid w:val="694E2071"/>
    <w:rsid w:val="69766163"/>
    <w:rsid w:val="697A3B33"/>
    <w:rsid w:val="699C3056"/>
    <w:rsid w:val="69CF5BB8"/>
    <w:rsid w:val="69D44760"/>
    <w:rsid w:val="69DA633B"/>
    <w:rsid w:val="69EC6380"/>
    <w:rsid w:val="6A1C6F83"/>
    <w:rsid w:val="6A520EC7"/>
    <w:rsid w:val="6A667059"/>
    <w:rsid w:val="6A8917B4"/>
    <w:rsid w:val="6AAB765B"/>
    <w:rsid w:val="6AB37DC4"/>
    <w:rsid w:val="6AF87E20"/>
    <w:rsid w:val="6B322639"/>
    <w:rsid w:val="6B5E41D4"/>
    <w:rsid w:val="6B96396E"/>
    <w:rsid w:val="6B9B6B10"/>
    <w:rsid w:val="6BD755EF"/>
    <w:rsid w:val="6BE51F5F"/>
    <w:rsid w:val="6C1825D5"/>
    <w:rsid w:val="6C3F7B62"/>
    <w:rsid w:val="6C5B27F9"/>
    <w:rsid w:val="6C636C38"/>
    <w:rsid w:val="6CA33ED2"/>
    <w:rsid w:val="6D007694"/>
    <w:rsid w:val="6D1645EA"/>
    <w:rsid w:val="6D2A0812"/>
    <w:rsid w:val="6D57241F"/>
    <w:rsid w:val="6D793547"/>
    <w:rsid w:val="6DB34098"/>
    <w:rsid w:val="6DB545B6"/>
    <w:rsid w:val="6DC90BDC"/>
    <w:rsid w:val="6DE02FB4"/>
    <w:rsid w:val="6E102A7E"/>
    <w:rsid w:val="6E287479"/>
    <w:rsid w:val="6E324CCB"/>
    <w:rsid w:val="6E514CED"/>
    <w:rsid w:val="6E5274E5"/>
    <w:rsid w:val="6EB563D5"/>
    <w:rsid w:val="6EC671E7"/>
    <w:rsid w:val="6ED92677"/>
    <w:rsid w:val="6EDD22DB"/>
    <w:rsid w:val="6F0155A2"/>
    <w:rsid w:val="6F225983"/>
    <w:rsid w:val="6F59733E"/>
    <w:rsid w:val="6F7C176E"/>
    <w:rsid w:val="6FA7439C"/>
    <w:rsid w:val="6FFC5590"/>
    <w:rsid w:val="6FFE5867"/>
    <w:rsid w:val="703A2BF0"/>
    <w:rsid w:val="706D1DD0"/>
    <w:rsid w:val="70856B87"/>
    <w:rsid w:val="708F339A"/>
    <w:rsid w:val="708F49F4"/>
    <w:rsid w:val="70BA1EAD"/>
    <w:rsid w:val="70D527EE"/>
    <w:rsid w:val="70F626C0"/>
    <w:rsid w:val="71015D2D"/>
    <w:rsid w:val="711D243B"/>
    <w:rsid w:val="71213A3A"/>
    <w:rsid w:val="712662AC"/>
    <w:rsid w:val="712A66B5"/>
    <w:rsid w:val="715B5300"/>
    <w:rsid w:val="71D15700"/>
    <w:rsid w:val="71D27F8A"/>
    <w:rsid w:val="71E2790D"/>
    <w:rsid w:val="71F238C8"/>
    <w:rsid w:val="72553024"/>
    <w:rsid w:val="73122968"/>
    <w:rsid w:val="731F5D5E"/>
    <w:rsid w:val="73644352"/>
    <w:rsid w:val="736F2DA8"/>
    <w:rsid w:val="739C3618"/>
    <w:rsid w:val="739E1612"/>
    <w:rsid w:val="73A40BF2"/>
    <w:rsid w:val="73C51AD5"/>
    <w:rsid w:val="73E06228"/>
    <w:rsid w:val="741E793C"/>
    <w:rsid w:val="745E3944"/>
    <w:rsid w:val="75687A7A"/>
    <w:rsid w:val="75FC4D15"/>
    <w:rsid w:val="760F1E95"/>
    <w:rsid w:val="760F46FF"/>
    <w:rsid w:val="7635099D"/>
    <w:rsid w:val="763D1683"/>
    <w:rsid w:val="768947FB"/>
    <w:rsid w:val="76CC0B8C"/>
    <w:rsid w:val="76D0242A"/>
    <w:rsid w:val="770420D4"/>
    <w:rsid w:val="771147F0"/>
    <w:rsid w:val="77762421"/>
    <w:rsid w:val="778243EB"/>
    <w:rsid w:val="778925D9"/>
    <w:rsid w:val="779A48AE"/>
    <w:rsid w:val="77A5773D"/>
    <w:rsid w:val="77B21074"/>
    <w:rsid w:val="77B56B1F"/>
    <w:rsid w:val="77BA5A61"/>
    <w:rsid w:val="77BC29AE"/>
    <w:rsid w:val="77E37F3B"/>
    <w:rsid w:val="780F09F4"/>
    <w:rsid w:val="78434E7D"/>
    <w:rsid w:val="787E5EB6"/>
    <w:rsid w:val="78A90480"/>
    <w:rsid w:val="7933301D"/>
    <w:rsid w:val="797447ED"/>
    <w:rsid w:val="79785651"/>
    <w:rsid w:val="79AD4F01"/>
    <w:rsid w:val="79BF1285"/>
    <w:rsid w:val="79F006ED"/>
    <w:rsid w:val="7A04398D"/>
    <w:rsid w:val="7A187F61"/>
    <w:rsid w:val="7A364017"/>
    <w:rsid w:val="7A41363F"/>
    <w:rsid w:val="7A6A5F24"/>
    <w:rsid w:val="7A74066E"/>
    <w:rsid w:val="7A8265E1"/>
    <w:rsid w:val="7AAF67FA"/>
    <w:rsid w:val="7AD7365B"/>
    <w:rsid w:val="7B4C229B"/>
    <w:rsid w:val="7B516CB4"/>
    <w:rsid w:val="7B686D42"/>
    <w:rsid w:val="7B78035F"/>
    <w:rsid w:val="7B841746"/>
    <w:rsid w:val="7BC1048B"/>
    <w:rsid w:val="7BCF78A0"/>
    <w:rsid w:val="7BE569B1"/>
    <w:rsid w:val="7C29438A"/>
    <w:rsid w:val="7C370855"/>
    <w:rsid w:val="7C376AA7"/>
    <w:rsid w:val="7C6C5AC7"/>
    <w:rsid w:val="7CC6544B"/>
    <w:rsid w:val="7CDD764F"/>
    <w:rsid w:val="7CF22C62"/>
    <w:rsid w:val="7D0239FF"/>
    <w:rsid w:val="7D0D7808"/>
    <w:rsid w:val="7D384885"/>
    <w:rsid w:val="7D5E40CD"/>
    <w:rsid w:val="7D661A63"/>
    <w:rsid w:val="7D93607C"/>
    <w:rsid w:val="7DCD56F2"/>
    <w:rsid w:val="7E215319"/>
    <w:rsid w:val="7E292D8B"/>
    <w:rsid w:val="7E335196"/>
    <w:rsid w:val="7E65407D"/>
    <w:rsid w:val="7E6D78EA"/>
    <w:rsid w:val="7EAE6798"/>
    <w:rsid w:val="7EB6798B"/>
    <w:rsid w:val="7EFB5591"/>
    <w:rsid w:val="7F001CE7"/>
    <w:rsid w:val="7F2B06CD"/>
    <w:rsid w:val="7F41536A"/>
    <w:rsid w:val="7F482254"/>
    <w:rsid w:val="7F57105D"/>
    <w:rsid w:val="7F606315"/>
    <w:rsid w:val="7F9B0585"/>
    <w:rsid w:val="7FCC5758"/>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nhideWhenUsed="0" w:uiPriority="0" w:semiHidden="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qFormat="1" w:uiPriority="39"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35"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qFormat="1" w:uiPriority="0" w:semiHidden="0" w:name="Body Text Indent 3" w:locked="1"/>
    <w:lsdException w:qFormat="1"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qFormat="1"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52"/>
    <w:unhideWhenUsed/>
    <w:qFormat/>
    <w:locked/>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qFormat/>
    <w:locked/>
    <w:uiPriority w:val="0"/>
    <w:pPr>
      <w:keepNext/>
      <w:keepLines/>
      <w:numPr>
        <w:ilvl w:val="0"/>
        <w:numId w:val="1"/>
      </w:numPr>
      <w:outlineLvl w:val="2"/>
    </w:pPr>
    <w:rPr>
      <w:b/>
      <w:bCs/>
    </w:rPr>
  </w:style>
  <w:style w:type="paragraph" w:styleId="5">
    <w:name w:val="heading 4"/>
    <w:basedOn w:val="1"/>
    <w:next w:val="1"/>
    <w:qFormat/>
    <w:locked/>
    <w:uiPriority w:val="0"/>
    <w:pPr>
      <w:keepNext/>
      <w:keepLines/>
      <w:spacing w:before="280" w:after="290" w:line="376" w:lineRule="auto"/>
      <w:outlineLvl w:val="3"/>
    </w:pPr>
    <w:rPr>
      <w:rFonts w:ascii="Cambria" w:hAnsi="Cambria" w:cs="Cambria"/>
      <w:b/>
      <w:bCs/>
      <w:kern w:val="0"/>
      <w:sz w:val="28"/>
      <w:szCs w:val="28"/>
    </w:rPr>
  </w:style>
  <w:style w:type="paragraph" w:styleId="6">
    <w:name w:val="heading 8"/>
    <w:basedOn w:val="1"/>
    <w:next w:val="1"/>
    <w:qFormat/>
    <w:locked/>
    <w:uiPriority w:val="0"/>
    <w:pPr>
      <w:keepNext/>
      <w:keepLines/>
      <w:numPr>
        <w:ilvl w:val="0"/>
        <w:numId w:val="2"/>
      </w:numPr>
      <w:jc w:val="center"/>
      <w:outlineLvl w:val="7"/>
    </w:pPr>
    <w:rPr>
      <w:b/>
      <w:lang w:val="zh-CN"/>
    </w:rPr>
  </w:style>
  <w:style w:type="character" w:default="1" w:styleId="35">
    <w:name w:val="Default Paragraph Font"/>
    <w:semiHidden/>
    <w:qFormat/>
    <w:uiPriority w:val="0"/>
  </w:style>
  <w:style w:type="table" w:default="1" w:styleId="33">
    <w:name w:val="Normal Table"/>
    <w:semiHidden/>
    <w:qFormat/>
    <w:uiPriority w:val="0"/>
    <w:tblPr>
      <w:tblCellMar>
        <w:top w:w="0" w:type="dxa"/>
        <w:left w:w="108" w:type="dxa"/>
        <w:bottom w:w="0" w:type="dxa"/>
        <w:right w:w="108" w:type="dxa"/>
      </w:tblCellMar>
    </w:tblPr>
  </w:style>
  <w:style w:type="paragraph" w:styleId="7">
    <w:name w:val="E-mail Signature"/>
    <w:basedOn w:val="1"/>
    <w:next w:val="8"/>
    <w:qFormat/>
    <w:locked/>
    <w:uiPriority w:val="0"/>
    <w:pPr>
      <w:widowControl w:val="0"/>
      <w:autoSpaceDE/>
      <w:autoSpaceDN/>
      <w:spacing w:before="0" w:after="0" w:line="460" w:lineRule="exact"/>
      <w:ind w:left="0" w:firstLine="200"/>
      <w:jc w:val="both"/>
    </w:pPr>
    <w:rPr>
      <w:rFonts w:ascii="Times New Roman" w:eastAsia="宋体"/>
      <w:sz w:val="24"/>
    </w:rPr>
  </w:style>
  <w:style w:type="paragraph" w:customStyle="1" w:styleId="8">
    <w:name w:val="文章"/>
    <w:basedOn w:val="9"/>
    <w:next w:val="10"/>
    <w:qFormat/>
    <w:uiPriority w:val="0"/>
    <w:pPr>
      <w:widowControl/>
      <w:autoSpaceDE/>
      <w:autoSpaceDN/>
      <w:spacing w:before="0" w:after="0" w:line="240" w:lineRule="auto"/>
      <w:ind w:left="0" w:firstLine="480"/>
      <w:jc w:val="center"/>
    </w:pPr>
    <w:rPr>
      <w:rFonts w:ascii="Times New Roman" w:eastAsia="宋体"/>
      <w:sz w:val="26"/>
    </w:rPr>
  </w:style>
  <w:style w:type="paragraph" w:styleId="9">
    <w:name w:val="Body Text Indent"/>
    <w:basedOn w:val="1"/>
    <w:link w:val="53"/>
    <w:qFormat/>
    <w:uiPriority w:val="0"/>
    <w:pPr>
      <w:spacing w:after="120"/>
      <w:ind w:left="420" w:leftChars="200"/>
    </w:pPr>
    <w:rPr>
      <w:kern w:val="0"/>
      <w:sz w:val="24"/>
      <w:szCs w:val="20"/>
    </w:rPr>
  </w:style>
  <w:style w:type="paragraph" w:styleId="10">
    <w:name w:val="List"/>
    <w:basedOn w:val="1"/>
    <w:next w:val="11"/>
    <w:unhideWhenUsed/>
    <w:qFormat/>
    <w:locked/>
    <w:uiPriority w:val="0"/>
    <w:pPr>
      <w:ind w:left="200" w:hanging="200" w:hangingChars="200"/>
      <w:contextualSpacing/>
    </w:pPr>
  </w:style>
  <w:style w:type="paragraph" w:styleId="11">
    <w:name w:val="List Bullet 2"/>
    <w:basedOn w:val="1"/>
    <w:next w:val="12"/>
    <w:qFormat/>
    <w:locked/>
    <w:uiPriority w:val="0"/>
    <w:pPr>
      <w:numPr>
        <w:ilvl w:val="0"/>
        <w:numId w:val="3"/>
      </w:numPr>
    </w:pPr>
  </w:style>
  <w:style w:type="paragraph" w:customStyle="1" w:styleId="12">
    <w:name w:val="xl70"/>
    <w:basedOn w:val="1"/>
    <w:next w:val="13"/>
    <w:qFormat/>
    <w:uiPriority w:val="0"/>
    <w:pPr>
      <w:widowControl/>
      <w:autoSpaceDE/>
      <w:autoSpaceDN/>
      <w:spacing w:before="280" w:after="280" w:line="240" w:lineRule="auto"/>
      <w:ind w:left="0" w:firstLine="0"/>
    </w:pPr>
    <w:rPr>
      <w:rFonts w:ascii="宋体" w:eastAsia="宋体"/>
      <w:sz w:val="24"/>
    </w:rPr>
  </w:style>
  <w:style w:type="paragraph" w:customStyle="1" w:styleId="13">
    <w:name w:val="正文缩进1"/>
    <w:basedOn w:val="14"/>
    <w:next w:val="15"/>
    <w:qFormat/>
    <w:uiPriority w:val="0"/>
    <w:pPr>
      <w:ind w:firstLine="420"/>
    </w:pPr>
    <w:rPr>
      <w:sz w:val="28"/>
      <w:szCs w:val="20"/>
    </w:rPr>
  </w:style>
  <w:style w:type="paragraph" w:styleId="14">
    <w:name w:val="Normal Indent"/>
    <w:basedOn w:val="1"/>
    <w:next w:val="1"/>
    <w:qFormat/>
    <w:locked/>
    <w:uiPriority w:val="99"/>
    <w:pPr>
      <w:spacing w:line="360" w:lineRule="auto"/>
      <w:ind w:firstLine="480" w:firstLineChars="200"/>
    </w:pPr>
    <w:rPr>
      <w:rFonts w:ascii="Times New Roman" w:hAnsi="Times New Roman" w:eastAsia="宋体"/>
      <w:sz w:val="24"/>
      <w:szCs w:val="24"/>
    </w:rPr>
  </w:style>
  <w:style w:type="paragraph" w:customStyle="1" w:styleId="15">
    <w:name w:val="td1"/>
    <w:basedOn w:val="1"/>
    <w:next w:val="1"/>
    <w:qFormat/>
    <w:uiPriority w:val="0"/>
    <w:pPr>
      <w:widowControl/>
      <w:autoSpaceDE/>
      <w:autoSpaceDN/>
      <w:spacing w:before="280" w:after="280" w:line="300" w:lineRule="atLeast"/>
      <w:ind w:left="0" w:firstLine="200"/>
    </w:pPr>
    <w:rPr>
      <w:rFonts w:ascii="Times New Roman" w:eastAsia="宋体"/>
      <w:color w:val="000000"/>
      <w:sz w:val="18"/>
    </w:rPr>
  </w:style>
  <w:style w:type="paragraph" w:styleId="16">
    <w:name w:val="caption"/>
    <w:basedOn w:val="1"/>
    <w:next w:val="1"/>
    <w:qFormat/>
    <w:locked/>
    <w:uiPriority w:val="35"/>
    <w:rPr>
      <w:rFonts w:ascii="等线 Light" w:hAnsi="等线 Light" w:eastAsia="黑体" w:cs="Times New Roman"/>
      <w:sz w:val="20"/>
      <w:szCs w:val="20"/>
    </w:rPr>
  </w:style>
  <w:style w:type="paragraph" w:styleId="17">
    <w:name w:val="annotation text"/>
    <w:basedOn w:val="1"/>
    <w:link w:val="54"/>
    <w:semiHidden/>
    <w:qFormat/>
    <w:uiPriority w:val="0"/>
    <w:pPr>
      <w:jc w:val="left"/>
    </w:pPr>
    <w:rPr>
      <w:kern w:val="0"/>
      <w:sz w:val="24"/>
      <w:szCs w:val="20"/>
    </w:rPr>
  </w:style>
  <w:style w:type="paragraph" w:styleId="18">
    <w:name w:val="Body Text"/>
    <w:basedOn w:val="1"/>
    <w:link w:val="55"/>
    <w:qFormat/>
    <w:uiPriority w:val="0"/>
    <w:pPr>
      <w:widowControl/>
      <w:snapToGrid w:val="0"/>
      <w:spacing w:before="60" w:after="160" w:line="259" w:lineRule="auto"/>
      <w:ind w:right="113"/>
    </w:pPr>
    <w:rPr>
      <w:kern w:val="0"/>
      <w:sz w:val="18"/>
      <w:szCs w:val="20"/>
    </w:rPr>
  </w:style>
  <w:style w:type="paragraph" w:styleId="19">
    <w:name w:val="Block Text"/>
    <w:qFormat/>
    <w:locked/>
    <w:uiPriority w:val="0"/>
    <w:pPr>
      <w:widowControl w:val="0"/>
      <w:snapToGrid w:val="0"/>
      <w:spacing w:before="180" w:line="380" w:lineRule="atLeast"/>
      <w:ind w:left="142" w:right="170" w:firstLine="476"/>
      <w:jc w:val="both"/>
    </w:pPr>
    <w:rPr>
      <w:rFonts w:ascii="Times New Roman" w:hAnsi="Times New Roman" w:eastAsia="宋体" w:cs="Times New Roman"/>
      <w:kern w:val="2"/>
      <w:sz w:val="24"/>
      <w:szCs w:val="20"/>
      <w:lang w:val="en-US" w:eastAsia="zh-CN" w:bidi="ar-SA"/>
    </w:rPr>
  </w:style>
  <w:style w:type="paragraph" w:styleId="20">
    <w:name w:val="toc 5"/>
    <w:basedOn w:val="1"/>
    <w:next w:val="1"/>
    <w:unhideWhenUsed/>
    <w:qFormat/>
    <w:locked/>
    <w:uiPriority w:val="39"/>
    <w:pPr>
      <w:ind w:left="1680"/>
    </w:pPr>
  </w:style>
  <w:style w:type="paragraph" w:styleId="21">
    <w:name w:val="Plain Text"/>
    <w:basedOn w:val="1"/>
    <w:next w:val="22"/>
    <w:qFormat/>
    <w:locked/>
    <w:uiPriority w:val="0"/>
    <w:rPr>
      <w:rFonts w:ascii="宋体" w:hAnsi="Courier New" w:eastAsia="宋体" w:cs="Times New Roman"/>
      <w:szCs w:val="21"/>
    </w:rPr>
  </w:style>
  <w:style w:type="paragraph" w:styleId="22">
    <w:name w:val="toc 1"/>
    <w:basedOn w:val="1"/>
    <w:next w:val="1"/>
    <w:qFormat/>
    <w:locked/>
    <w:uiPriority w:val="0"/>
  </w:style>
  <w:style w:type="paragraph" w:styleId="23">
    <w:name w:val="Date"/>
    <w:basedOn w:val="1"/>
    <w:next w:val="1"/>
    <w:link w:val="56"/>
    <w:qFormat/>
    <w:uiPriority w:val="0"/>
    <w:pPr>
      <w:ind w:left="100" w:leftChars="2500"/>
    </w:pPr>
    <w:rPr>
      <w:kern w:val="0"/>
      <w:sz w:val="24"/>
      <w:szCs w:val="20"/>
    </w:rPr>
  </w:style>
  <w:style w:type="paragraph" w:styleId="24">
    <w:name w:val="Body Text Indent 2"/>
    <w:basedOn w:val="1"/>
    <w:qFormat/>
    <w:locked/>
    <w:uiPriority w:val="0"/>
    <w:pPr>
      <w:snapToGrid w:val="0"/>
      <w:spacing w:after="120" w:line="480" w:lineRule="auto"/>
      <w:ind w:left="420" w:leftChars="200" w:firstLine="567"/>
    </w:pPr>
    <w:rPr>
      <w:sz w:val="28"/>
      <w:szCs w:val="20"/>
    </w:rPr>
  </w:style>
  <w:style w:type="paragraph" w:styleId="25">
    <w:name w:val="Balloon Text"/>
    <w:basedOn w:val="1"/>
    <w:link w:val="57"/>
    <w:semiHidden/>
    <w:qFormat/>
    <w:uiPriority w:val="0"/>
    <w:rPr>
      <w:kern w:val="0"/>
      <w:sz w:val="18"/>
      <w:szCs w:val="20"/>
    </w:rPr>
  </w:style>
  <w:style w:type="paragraph" w:styleId="26">
    <w:name w:val="footer"/>
    <w:basedOn w:val="1"/>
    <w:link w:val="58"/>
    <w:qFormat/>
    <w:uiPriority w:val="99"/>
    <w:pPr>
      <w:tabs>
        <w:tab w:val="center" w:pos="4153"/>
        <w:tab w:val="right" w:pos="8306"/>
      </w:tabs>
      <w:snapToGrid w:val="0"/>
      <w:jc w:val="left"/>
    </w:pPr>
    <w:rPr>
      <w:kern w:val="0"/>
      <w:sz w:val="18"/>
      <w:szCs w:val="20"/>
    </w:rPr>
  </w:style>
  <w:style w:type="paragraph" w:styleId="27">
    <w:name w:val="header"/>
    <w:basedOn w:val="1"/>
    <w:link w:val="59"/>
    <w:qFormat/>
    <w:uiPriority w:val="0"/>
    <w:pPr>
      <w:pBdr>
        <w:bottom w:val="single" w:color="auto" w:sz="6" w:space="1"/>
      </w:pBdr>
      <w:tabs>
        <w:tab w:val="center" w:pos="4153"/>
        <w:tab w:val="right" w:pos="8306"/>
      </w:tabs>
      <w:snapToGrid w:val="0"/>
      <w:jc w:val="center"/>
    </w:pPr>
    <w:rPr>
      <w:kern w:val="0"/>
      <w:sz w:val="18"/>
      <w:szCs w:val="20"/>
    </w:rPr>
  </w:style>
  <w:style w:type="paragraph" w:styleId="28">
    <w:name w:val="Body Text Indent 3"/>
    <w:basedOn w:val="1"/>
    <w:unhideWhenUsed/>
    <w:qFormat/>
    <w:locked/>
    <w:uiPriority w:val="0"/>
    <w:pPr>
      <w:widowControl w:val="0"/>
      <w:adjustRightInd w:val="0"/>
      <w:spacing w:beforeLines="0" w:afterLines="0" w:line="360" w:lineRule="auto"/>
      <w:ind w:firstLine="570"/>
      <w:textAlignment w:val="baseline"/>
    </w:pPr>
    <w:rPr>
      <w:rFonts w:hint="eastAsia" w:ascii="Times New Roman" w:hAnsi="Times New Roman" w:eastAsia="Times New Roman" w:cs="Times New Roman"/>
      <w:kern w:val="0"/>
      <w:sz w:val="28"/>
      <w:szCs w:val="24"/>
    </w:rPr>
  </w:style>
  <w:style w:type="paragraph" w:styleId="29">
    <w:name w:val="toc 2"/>
    <w:basedOn w:val="1"/>
    <w:next w:val="7"/>
    <w:qFormat/>
    <w:locked/>
    <w:uiPriority w:val="39"/>
    <w:pPr>
      <w:ind w:left="420" w:leftChars="200"/>
    </w:pPr>
  </w:style>
  <w:style w:type="paragraph" w:styleId="30">
    <w:name w:val="Normal (Web)"/>
    <w:basedOn w:val="1"/>
    <w:link w:val="60"/>
    <w:qFormat/>
    <w:uiPriority w:val="0"/>
    <w:pPr>
      <w:widowControl/>
      <w:spacing w:before="100" w:beforeAutospacing="1" w:after="100" w:afterAutospacing="1"/>
      <w:jc w:val="left"/>
    </w:pPr>
    <w:rPr>
      <w:rFonts w:ascii="宋体" w:hAnsi="宋体"/>
      <w:kern w:val="0"/>
      <w:sz w:val="24"/>
      <w:szCs w:val="20"/>
    </w:rPr>
  </w:style>
  <w:style w:type="paragraph" w:styleId="31">
    <w:name w:val="annotation subject"/>
    <w:basedOn w:val="17"/>
    <w:next w:val="17"/>
    <w:link w:val="61"/>
    <w:semiHidden/>
    <w:qFormat/>
    <w:uiPriority w:val="0"/>
    <w:rPr>
      <w:b/>
      <w:sz w:val="24"/>
      <w:szCs w:val="20"/>
    </w:rPr>
  </w:style>
  <w:style w:type="paragraph" w:styleId="32">
    <w:name w:val="Body Text First Indent 2"/>
    <w:basedOn w:val="9"/>
    <w:qFormat/>
    <w:locked/>
    <w:uiPriority w:val="0"/>
    <w:pPr>
      <w:widowControl/>
      <w:snapToGrid w:val="0"/>
      <w:spacing w:after="120" w:line="240" w:lineRule="auto"/>
      <w:ind w:left="420" w:leftChars="200" w:firstLine="420" w:firstLineChars="200"/>
      <w:jc w:val="left"/>
    </w:pPr>
    <w:rPr>
      <w:rFonts w:ascii="宋体" w:hAnsi="宋体" w:eastAsia="宋体" w:cs="宋体"/>
      <w:kern w:val="0"/>
      <w:sz w:val="24"/>
      <w:szCs w:val="24"/>
      <w:lang w:val="en-US" w:eastAsia="zh-CN" w:bidi="ar-SA"/>
    </w:rPr>
  </w:style>
  <w:style w:type="table" w:styleId="34">
    <w:name w:val="Table Grid"/>
    <w:basedOn w:val="33"/>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locked/>
    <w:uiPriority w:val="0"/>
    <w:rPr>
      <w:b/>
    </w:rPr>
  </w:style>
  <w:style w:type="character" w:styleId="37">
    <w:name w:val="page number"/>
    <w:basedOn w:val="35"/>
    <w:qFormat/>
    <w:locked/>
    <w:uiPriority w:val="0"/>
  </w:style>
  <w:style w:type="character" w:styleId="38">
    <w:name w:val="Hyperlink"/>
    <w:basedOn w:val="35"/>
    <w:qFormat/>
    <w:locked/>
    <w:uiPriority w:val="0"/>
    <w:rPr>
      <w:color w:val="0000FF"/>
      <w:u w:val="single"/>
    </w:rPr>
  </w:style>
  <w:style w:type="character" w:styleId="39">
    <w:name w:val="annotation reference"/>
    <w:semiHidden/>
    <w:qFormat/>
    <w:uiPriority w:val="0"/>
    <w:rPr>
      <w:sz w:val="21"/>
    </w:rPr>
  </w:style>
  <w:style w:type="paragraph" w:customStyle="1" w:styleId="40">
    <w:name w:val="Default"/>
    <w:basedOn w:val="41"/>
    <w:next w:val="42"/>
    <w:qFormat/>
    <w:uiPriority w:val="0"/>
    <w:pPr>
      <w:autoSpaceDE w:val="0"/>
      <w:autoSpaceDN w:val="0"/>
      <w:adjustRightInd w:val="0"/>
      <w:jc w:val="left"/>
    </w:pPr>
    <w:rPr>
      <w:color w:val="000000"/>
      <w:kern w:val="0"/>
      <w:sz w:val="24"/>
    </w:rPr>
  </w:style>
  <w:style w:type="paragraph" w:customStyle="1" w:styleId="41">
    <w:name w:val="纯文本1"/>
    <w:basedOn w:val="1"/>
    <w:qFormat/>
    <w:uiPriority w:val="0"/>
    <w:pPr>
      <w:adjustRightInd w:val="0"/>
      <w:ind w:firstLine="0"/>
      <w:jc w:val="center"/>
      <w:textAlignment w:val="baseline"/>
    </w:pPr>
    <w:rPr>
      <w:rFonts w:ascii="宋体" w:hAnsi="Courier New"/>
    </w:rPr>
  </w:style>
  <w:style w:type="paragraph" w:customStyle="1" w:styleId="42">
    <w:name w:val="样式35"/>
    <w:basedOn w:val="43"/>
    <w:next w:val="47"/>
    <w:qFormat/>
    <w:uiPriority w:val="0"/>
    <w:pPr>
      <w:widowControl w:val="0"/>
      <w:tabs>
        <w:tab w:val="left" w:pos="0"/>
        <w:tab w:val="left" w:pos="360"/>
        <w:tab w:val="left" w:pos="540"/>
        <w:tab w:val="left" w:pos="567"/>
      </w:tabs>
      <w:autoSpaceDE/>
      <w:autoSpaceDN/>
      <w:spacing w:before="0" w:after="0" w:line="312" w:lineRule="auto"/>
      <w:ind w:left="0" w:firstLine="567"/>
      <w:jc w:val="both"/>
    </w:pPr>
    <w:rPr>
      <w:rFonts w:ascii="宋体" w:eastAsia="宋体"/>
      <w:sz w:val="28"/>
    </w:rPr>
  </w:style>
  <w:style w:type="paragraph" w:customStyle="1" w:styleId="43">
    <w:name w:val="样式26"/>
    <w:basedOn w:val="44"/>
    <w:qFormat/>
    <w:uiPriority w:val="0"/>
    <w:pPr>
      <w:tabs>
        <w:tab w:val="left" w:pos="0"/>
        <w:tab w:val="left" w:pos="360"/>
        <w:tab w:val="left" w:pos="540"/>
        <w:tab w:val="left" w:pos="567"/>
      </w:tabs>
    </w:pPr>
  </w:style>
  <w:style w:type="paragraph" w:customStyle="1" w:styleId="44">
    <w:name w:val="样式21"/>
    <w:basedOn w:val="45"/>
    <w:qFormat/>
    <w:uiPriority w:val="0"/>
    <w:pPr>
      <w:tabs>
        <w:tab w:val="left" w:pos="360"/>
        <w:tab w:val="left" w:pos="567"/>
      </w:tabs>
      <w:spacing w:before="120" w:beforeLines="0" w:after="120" w:afterLines="0"/>
      <w:ind w:hanging="992"/>
    </w:pPr>
  </w:style>
  <w:style w:type="paragraph" w:customStyle="1" w:styleId="45">
    <w:name w:val="样式5"/>
    <w:basedOn w:val="46"/>
    <w:qFormat/>
    <w:uiPriority w:val="0"/>
    <w:pPr>
      <w:tabs>
        <w:tab w:val="left" w:pos="360"/>
        <w:tab w:val="left" w:pos="567"/>
      </w:tabs>
    </w:pPr>
  </w:style>
  <w:style w:type="paragraph" w:customStyle="1" w:styleId="46">
    <w:name w:val="样式12"/>
    <w:basedOn w:val="1"/>
    <w:qFormat/>
    <w:uiPriority w:val="0"/>
    <w:pPr>
      <w:keepNext/>
      <w:keepLines/>
      <w:tabs>
        <w:tab w:val="left" w:pos="360"/>
      </w:tabs>
      <w:spacing w:before="156" w:beforeLines="50" w:after="156" w:afterLines="50" w:line="360" w:lineRule="auto"/>
      <w:ind w:left="567" w:hanging="567"/>
      <w:outlineLvl w:val="1"/>
    </w:pPr>
    <w:rPr>
      <w:rFonts w:ascii="Times New Roman" w:hAnsi="Times New Roman" w:eastAsia="MS Mincho"/>
      <w:kern w:val="0"/>
      <w:sz w:val="28"/>
      <w:szCs w:val="28"/>
    </w:rPr>
  </w:style>
  <w:style w:type="paragraph" w:customStyle="1" w:styleId="47">
    <w:name w:val="font6"/>
    <w:basedOn w:val="1"/>
    <w:next w:val="29"/>
    <w:qFormat/>
    <w:uiPriority w:val="0"/>
    <w:pPr>
      <w:widowControl/>
      <w:autoSpaceDE/>
      <w:autoSpaceDN/>
      <w:spacing w:before="280" w:after="280" w:line="240" w:lineRule="auto"/>
      <w:ind w:left="0" w:firstLine="0"/>
    </w:pPr>
    <w:rPr>
      <w:rFonts w:ascii="Times New Roman" w:eastAsia="宋体"/>
      <w:sz w:val="21"/>
    </w:rPr>
  </w:style>
  <w:style w:type="paragraph" w:customStyle="1" w:styleId="48">
    <w:name w:val="Default1"/>
    <w:basedOn w:val="49"/>
    <w:next w:val="1"/>
    <w:link w:val="51"/>
    <w:qFormat/>
    <w:uiPriority w:val="0"/>
    <w:pPr>
      <w:widowControl w:val="0"/>
      <w:autoSpaceDE w:val="0"/>
      <w:autoSpaceDN w:val="0"/>
      <w:adjustRightInd w:val="0"/>
    </w:pPr>
    <w:rPr>
      <w:rFonts w:ascii="宋体" w:hAnsi="Times New Roman" w:cs="宋体"/>
      <w:color w:val="000000"/>
      <w:sz w:val="24"/>
      <w:szCs w:val="24"/>
      <w:lang w:val="en-US" w:eastAsia="zh-CN" w:bidi="ar-SA"/>
    </w:rPr>
  </w:style>
  <w:style w:type="paragraph" w:customStyle="1" w:styleId="49">
    <w:name w:val="表格文字01"/>
    <w:basedOn w:val="1"/>
    <w:qFormat/>
    <w:uiPriority w:val="0"/>
    <w:pPr>
      <w:wordWrap w:val="0"/>
      <w:overflowPunct w:val="0"/>
      <w:topLinePunct/>
      <w:jc w:val="center"/>
    </w:pPr>
    <w:rPr>
      <w:rFonts w:ascii="Arial" w:hAnsi="Arial" w:eastAsia="宋体" w:cs="Times New Roman"/>
      <w:snapToGrid w:val="0"/>
      <w:color w:val="000000"/>
      <w:szCs w:val="20"/>
    </w:rPr>
  </w:style>
  <w:style w:type="paragraph" w:customStyle="1" w:styleId="50">
    <w:name w:val="正文样式1"/>
    <w:next w:val="1"/>
    <w:qFormat/>
    <w:uiPriority w:val="0"/>
    <w:pPr>
      <w:widowControl w:val="0"/>
      <w:adjustRightInd w:val="0"/>
      <w:spacing w:line="360" w:lineRule="auto"/>
      <w:ind w:firstLine="360" w:firstLineChars="150"/>
      <w:jc w:val="both"/>
      <w:textAlignment w:val="baseline"/>
    </w:pPr>
    <w:rPr>
      <w:rFonts w:ascii="宋体" w:hAnsi="宋体" w:eastAsia="宋体" w:cs="Times New Roman"/>
      <w:color w:val="FF0000"/>
      <w:kern w:val="0"/>
      <w:sz w:val="24"/>
      <w:szCs w:val="20"/>
      <w:lang w:val="en-US" w:eastAsia="zh-CN" w:bidi="ar-SA"/>
    </w:rPr>
  </w:style>
  <w:style w:type="character" w:customStyle="1" w:styleId="51">
    <w:name w:val="Default1 Char"/>
    <w:link w:val="48"/>
    <w:qFormat/>
    <w:uiPriority w:val="0"/>
    <w:rPr>
      <w:rFonts w:ascii="宋体" w:hAnsi="Times New Roman" w:cs="宋体"/>
      <w:color w:val="000000"/>
      <w:sz w:val="24"/>
      <w:szCs w:val="24"/>
      <w:lang w:val="en-US" w:eastAsia="zh-CN" w:bidi="ar-SA"/>
    </w:rPr>
  </w:style>
  <w:style w:type="character" w:customStyle="1" w:styleId="52">
    <w:name w:val="标题 2 Char"/>
    <w:link w:val="3"/>
    <w:qFormat/>
    <w:uiPriority w:val="0"/>
    <w:rPr>
      <w:rFonts w:hint="eastAsia" w:ascii="宋体" w:hAnsi="宋体" w:eastAsia="宋体" w:cs="宋体"/>
      <w:b/>
      <w:bCs/>
      <w:kern w:val="0"/>
      <w:sz w:val="36"/>
      <w:szCs w:val="36"/>
      <w:lang w:val="en-US" w:eastAsia="zh-CN" w:bidi="ar"/>
    </w:rPr>
  </w:style>
  <w:style w:type="character" w:customStyle="1" w:styleId="53">
    <w:name w:val="正文文本缩进 Char"/>
    <w:link w:val="9"/>
    <w:semiHidden/>
    <w:qFormat/>
    <w:locked/>
    <w:uiPriority w:val="0"/>
    <w:rPr>
      <w:rFonts w:ascii="Times New Roman" w:hAnsi="Times New Roman" w:eastAsia="宋体"/>
      <w:sz w:val="24"/>
    </w:rPr>
  </w:style>
  <w:style w:type="character" w:customStyle="1" w:styleId="54">
    <w:name w:val="批注文字 Char"/>
    <w:link w:val="17"/>
    <w:qFormat/>
    <w:locked/>
    <w:uiPriority w:val="0"/>
    <w:rPr>
      <w:rFonts w:ascii="Times New Roman" w:hAnsi="Times New Roman" w:eastAsia="宋体"/>
      <w:sz w:val="24"/>
    </w:rPr>
  </w:style>
  <w:style w:type="character" w:customStyle="1" w:styleId="55">
    <w:name w:val="正文文本 Char"/>
    <w:link w:val="18"/>
    <w:qFormat/>
    <w:locked/>
    <w:uiPriority w:val="0"/>
    <w:rPr>
      <w:sz w:val="18"/>
    </w:rPr>
  </w:style>
  <w:style w:type="character" w:customStyle="1" w:styleId="56">
    <w:name w:val="日期 Char"/>
    <w:link w:val="23"/>
    <w:qFormat/>
    <w:locked/>
    <w:uiPriority w:val="0"/>
    <w:rPr>
      <w:rFonts w:ascii="Times New Roman" w:hAnsi="Times New Roman" w:eastAsia="宋体"/>
      <w:sz w:val="24"/>
    </w:rPr>
  </w:style>
  <w:style w:type="character" w:customStyle="1" w:styleId="57">
    <w:name w:val="批注框文本 Char"/>
    <w:link w:val="25"/>
    <w:semiHidden/>
    <w:qFormat/>
    <w:locked/>
    <w:uiPriority w:val="0"/>
    <w:rPr>
      <w:rFonts w:ascii="Times New Roman" w:hAnsi="Times New Roman" w:eastAsia="宋体"/>
      <w:sz w:val="18"/>
    </w:rPr>
  </w:style>
  <w:style w:type="character" w:customStyle="1" w:styleId="58">
    <w:name w:val="页脚 Char"/>
    <w:link w:val="26"/>
    <w:qFormat/>
    <w:locked/>
    <w:uiPriority w:val="99"/>
    <w:rPr>
      <w:sz w:val="18"/>
    </w:rPr>
  </w:style>
  <w:style w:type="character" w:customStyle="1" w:styleId="59">
    <w:name w:val="页眉 Char"/>
    <w:link w:val="27"/>
    <w:qFormat/>
    <w:locked/>
    <w:uiPriority w:val="0"/>
    <w:rPr>
      <w:sz w:val="18"/>
    </w:rPr>
  </w:style>
  <w:style w:type="character" w:customStyle="1" w:styleId="60">
    <w:name w:val="普通(网站) Char"/>
    <w:link w:val="30"/>
    <w:qFormat/>
    <w:locked/>
    <w:uiPriority w:val="0"/>
    <w:rPr>
      <w:rFonts w:ascii="宋体" w:hAnsi="宋体" w:eastAsia="宋体"/>
      <w:sz w:val="24"/>
    </w:rPr>
  </w:style>
  <w:style w:type="character" w:customStyle="1" w:styleId="61">
    <w:name w:val="批注主题 Char"/>
    <w:link w:val="31"/>
    <w:semiHidden/>
    <w:qFormat/>
    <w:locked/>
    <w:uiPriority w:val="0"/>
    <w:rPr>
      <w:rFonts w:ascii="Times New Roman" w:hAnsi="Times New Roman" w:eastAsia="宋体"/>
      <w:b/>
      <w:kern w:val="2"/>
      <w:sz w:val="24"/>
    </w:rPr>
  </w:style>
  <w:style w:type="character" w:customStyle="1" w:styleId="62">
    <w:name w:val="页脚 字符"/>
    <w:basedOn w:val="35"/>
    <w:qFormat/>
    <w:uiPriority w:val="99"/>
  </w:style>
  <w:style w:type="character" w:customStyle="1" w:styleId="63">
    <w:name w:val="正文文本 字符1"/>
    <w:semiHidden/>
    <w:qFormat/>
    <w:uiPriority w:val="0"/>
    <w:rPr>
      <w:rFonts w:ascii="Times New Roman" w:hAnsi="Times New Roman" w:eastAsia="宋体"/>
      <w:sz w:val="24"/>
    </w:rPr>
  </w:style>
  <w:style w:type="character" w:customStyle="1" w:styleId="64">
    <w:name w:val="表格 Char"/>
    <w:link w:val="65"/>
    <w:qFormat/>
    <w:locked/>
    <w:uiPriority w:val="0"/>
    <w:rPr>
      <w:rFonts w:ascii="宋体"/>
      <w:sz w:val="21"/>
    </w:rPr>
  </w:style>
  <w:style w:type="paragraph" w:customStyle="1" w:styleId="65">
    <w:name w:val="表格"/>
    <w:basedOn w:val="1"/>
    <w:next w:val="1"/>
    <w:link w:val="64"/>
    <w:qFormat/>
    <w:uiPriority w:val="0"/>
    <w:pPr>
      <w:adjustRightInd w:val="0"/>
      <w:snapToGrid w:val="0"/>
      <w:spacing w:beforeLines="10" w:afterLines="10" w:line="259" w:lineRule="auto"/>
      <w:jc w:val="center"/>
    </w:pPr>
    <w:rPr>
      <w:rFonts w:ascii="宋体"/>
      <w:kern w:val="0"/>
      <w:szCs w:val="20"/>
    </w:rPr>
  </w:style>
  <w:style w:type="character" w:customStyle="1" w:styleId="66">
    <w:name w:val="日期 字符"/>
    <w:semiHidden/>
    <w:qFormat/>
    <w:uiPriority w:val="0"/>
    <w:rPr>
      <w:rFonts w:ascii="Times New Roman" w:hAnsi="Times New Roman" w:eastAsia="宋体"/>
      <w:sz w:val="24"/>
    </w:rPr>
  </w:style>
  <w:style w:type="character" w:customStyle="1" w:styleId="67">
    <w:name w:val="批注文字 字符1"/>
    <w:semiHidden/>
    <w:qFormat/>
    <w:uiPriority w:val="0"/>
    <w:rPr>
      <w:rFonts w:ascii="Times New Roman" w:hAnsi="Times New Roman" w:eastAsia="宋体"/>
      <w:sz w:val="24"/>
    </w:rPr>
  </w:style>
  <w:style w:type="paragraph" w:customStyle="1" w:styleId="6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70">
    <w:name w:val="表格内容"/>
    <w:basedOn w:val="1"/>
    <w:qFormat/>
    <w:uiPriority w:val="0"/>
    <w:pPr>
      <w:jc w:val="center"/>
    </w:pPr>
    <w:rPr>
      <w:szCs w:val="21"/>
      <w:lang w:val="zh-CN"/>
    </w:rPr>
  </w:style>
  <w:style w:type="paragraph" w:customStyle="1" w:styleId="71">
    <w:name w:val="Table Paragraph"/>
    <w:basedOn w:val="1"/>
    <w:qFormat/>
    <w:uiPriority w:val="1"/>
    <w:rPr>
      <w:rFonts w:ascii="宋体" w:hAnsi="宋体" w:eastAsia="宋体" w:cs="宋体"/>
      <w:lang w:val="zh-CN" w:eastAsia="zh-CN" w:bidi="zh-CN"/>
    </w:rPr>
  </w:style>
  <w:style w:type="paragraph" w:customStyle="1" w:styleId="72">
    <w:name w:val="表 内容"/>
    <w:basedOn w:val="1"/>
    <w:qFormat/>
    <w:uiPriority w:val="0"/>
    <w:pPr>
      <w:spacing w:line="276" w:lineRule="auto"/>
      <w:jc w:val="center"/>
    </w:pPr>
    <w:rPr>
      <w:rFonts w:ascii="仿宋" w:hAnsi="仿宋" w:eastAsia="仿宋"/>
      <w:sz w:val="24"/>
    </w:rPr>
  </w:style>
  <w:style w:type="paragraph" w:customStyle="1" w:styleId="73">
    <w:name w:val="图文"/>
    <w:basedOn w:val="1"/>
    <w:qFormat/>
    <w:uiPriority w:val="0"/>
    <w:pPr>
      <w:adjustRightInd w:val="0"/>
      <w:snapToGrid w:val="0"/>
      <w:spacing w:line="240" w:lineRule="atLeast"/>
    </w:pPr>
    <w:rPr>
      <w:rFonts w:ascii="Calibri" w:hAnsi="Calibri" w:eastAsia="宋体" w:cs="Calibri"/>
      <w:sz w:val="24"/>
      <w:szCs w:val="22"/>
    </w:rPr>
  </w:style>
  <w:style w:type="paragraph" w:customStyle="1" w:styleId="74">
    <w:name w:val="表格 32"/>
    <w:qFormat/>
    <w:uiPriority w:val="0"/>
    <w:pPr>
      <w:widowControl w:val="0"/>
      <w:autoSpaceDE w:val="0"/>
      <w:autoSpaceDN w:val="0"/>
      <w:adjustRightInd w:val="0"/>
      <w:jc w:val="center"/>
      <w:textAlignment w:val="baseline"/>
    </w:pPr>
    <w:rPr>
      <w:rFonts w:ascii="宋体" w:hAnsi="Impact" w:eastAsia="宋体" w:cs="Times New Roman"/>
      <w:kern w:val="24"/>
      <w:sz w:val="24"/>
      <w:szCs w:val="20"/>
      <w:lang w:val="en-US" w:eastAsia="zh-CN" w:bidi="ar-SA"/>
    </w:rPr>
  </w:style>
  <w:style w:type="paragraph" w:customStyle="1" w:styleId="75">
    <w:name w:val="Table Text"/>
    <w:basedOn w:val="1"/>
    <w:semiHidden/>
    <w:qFormat/>
    <w:uiPriority w:val="0"/>
    <w:rPr>
      <w:rFonts w:ascii="宋体" w:hAnsi="宋体" w:eastAsia="宋体" w:cs="宋体"/>
      <w:sz w:val="20"/>
      <w:szCs w:val="20"/>
      <w:lang w:val="en-US" w:eastAsia="en-US" w:bidi="ar-SA"/>
    </w:rPr>
  </w:style>
  <w:style w:type="paragraph" w:customStyle="1" w:styleId="76">
    <w:name w:val="Normal Indent1"/>
    <w:basedOn w:val="1"/>
    <w:qFormat/>
    <w:uiPriority w:val="0"/>
    <w:pPr>
      <w:ind w:firstLine="420"/>
    </w:pPr>
  </w:style>
  <w:style w:type="paragraph" w:customStyle="1" w:styleId="77">
    <w:name w:val="陈表格"/>
    <w:basedOn w:val="1"/>
    <w:qFormat/>
    <w:uiPriority w:val="0"/>
    <w:pPr>
      <w:wordWrap w:val="0"/>
      <w:overflowPunct w:val="0"/>
      <w:topLinePunct/>
      <w:adjustRightInd w:val="0"/>
      <w:snapToGrid w:val="0"/>
      <w:spacing w:line="360" w:lineRule="auto"/>
      <w:ind w:firstLine="200" w:firstLineChars="200"/>
    </w:pPr>
    <w:rPr>
      <w:snapToGrid w:val="0"/>
      <w:color w:val="000000"/>
      <w:szCs w:val="22"/>
    </w:rPr>
  </w:style>
  <w:style w:type="paragraph" w:customStyle="1" w:styleId="78">
    <w:name w:val="表格正文 YP"/>
    <w:basedOn w:val="1"/>
    <w:qFormat/>
    <w:uiPriority w:val="0"/>
    <w:pPr>
      <w:jc w:val="center"/>
    </w:pPr>
    <w:rPr>
      <w:rFonts w:ascii="Times New Roman" w:hAnsi="宋体" w:eastAsia="宋体" w:cs="Times New Roman"/>
      <w:szCs w:val="21"/>
    </w:rPr>
  </w:style>
  <w:style w:type="paragraph" w:customStyle="1" w:styleId="79">
    <w:name w:val="yang"/>
    <w:basedOn w:val="1"/>
    <w:qFormat/>
    <w:uiPriority w:val="0"/>
    <w:pPr>
      <w:spacing w:line="360" w:lineRule="auto"/>
      <w:ind w:firstLine="720" w:firstLineChars="200"/>
      <w:jc w:val="left"/>
    </w:pPr>
    <w:rPr>
      <w:rFonts w:ascii="Times New Roman" w:hAnsi="Times New Roman"/>
      <w:sz w:val="24"/>
    </w:rPr>
  </w:style>
  <w:style w:type="paragraph" w:customStyle="1" w:styleId="80">
    <w:name w:val="a正文"/>
    <w:basedOn w:val="1"/>
    <w:qFormat/>
    <w:uiPriority w:val="0"/>
    <w:pPr>
      <w:spacing w:line="360" w:lineRule="auto"/>
      <w:ind w:firstLine="428" w:firstLineChars="200"/>
    </w:pPr>
    <w:rPr>
      <w:spacing w:val="4"/>
      <w:kern w:val="0"/>
      <w:szCs w:val="22"/>
    </w:rPr>
  </w:style>
  <w:style w:type="paragraph" w:customStyle="1" w:styleId="81">
    <w:name w:val="样式48"/>
    <w:basedOn w:val="82"/>
    <w:qFormat/>
    <w:uiPriority w:val="0"/>
    <w:pPr>
      <w:widowControl w:val="0"/>
      <w:numPr>
        <w:ilvl w:val="0"/>
        <w:numId w:val="4"/>
      </w:numPr>
      <w:spacing w:before="50" w:beforeLines="50"/>
      <w:jc w:val="center"/>
      <w:outlineLvl w:val="4"/>
    </w:pPr>
    <w:rPr>
      <w:rFonts w:ascii="Times New Roman" w:hAnsi="Times New Roman" w:eastAsia="宋体" w:cs="Times New Roman"/>
      <w:b w:val="0"/>
      <w:kern w:val="0"/>
      <w:sz w:val="20"/>
      <w:szCs w:val="20"/>
      <w:lang w:val="en-US" w:eastAsia="zh-CN" w:bidi="ar-SA"/>
    </w:rPr>
  </w:style>
  <w:style w:type="paragraph" w:customStyle="1" w:styleId="82">
    <w:name w:val="表头 YP"/>
    <w:qFormat/>
    <w:uiPriority w:val="0"/>
    <w:pPr>
      <w:widowControl w:val="0"/>
      <w:spacing w:before="50" w:beforeLines="50"/>
      <w:jc w:val="center"/>
      <w:outlineLvl w:val="4"/>
    </w:pPr>
    <w:rPr>
      <w:rFonts w:ascii="Times New Roman" w:hAnsi="Times New Roman" w:eastAsia="宋体" w:cs="Times New Roman"/>
      <w:b/>
      <w:kern w:val="2"/>
      <w:sz w:val="21"/>
      <w:szCs w:val="20"/>
      <w:lang w:val="en-US" w:eastAsia="zh-CN" w:bidi="ar-SA"/>
    </w:rPr>
  </w:style>
  <w:style w:type="paragraph" w:customStyle="1" w:styleId="83">
    <w:name w:val="表头d"/>
    <w:basedOn w:val="1"/>
    <w:qFormat/>
    <w:uiPriority w:val="0"/>
    <w:pPr>
      <w:numPr>
        <w:ilvl w:val="0"/>
        <w:numId w:val="5"/>
      </w:numPr>
      <w:jc w:val="center"/>
    </w:pPr>
    <w:rPr>
      <w:b/>
      <w:sz w:val="24"/>
    </w:rPr>
  </w:style>
  <w:style w:type="paragraph" w:customStyle="1" w:styleId="84">
    <w:name w:val="报告表正文"/>
    <w:qFormat/>
    <w:uiPriority w:val="0"/>
    <w:pPr>
      <w:widowControl w:val="0"/>
      <w:spacing w:line="360" w:lineRule="auto"/>
      <w:ind w:firstLine="200" w:firstLineChars="200"/>
      <w:jc w:val="both"/>
    </w:pPr>
    <w:rPr>
      <w:rFonts w:ascii="Times New Roman" w:hAnsi="Times New Roman" w:eastAsia="仿宋体" w:cs="Times New Roman"/>
      <w:kern w:val="2"/>
      <w:sz w:val="24"/>
      <w:szCs w:val="20"/>
      <w:lang w:val="en-US" w:eastAsia="zh-CN" w:bidi="ar-SA"/>
    </w:rPr>
  </w:style>
  <w:style w:type="paragraph" w:customStyle="1" w:styleId="85">
    <w:name w:val="A正文"/>
    <w:basedOn w:val="1"/>
    <w:next w:val="18"/>
    <w:qFormat/>
    <w:uiPriority w:val="0"/>
    <w:pPr>
      <w:spacing w:line="360" w:lineRule="auto"/>
      <w:ind w:firstLine="200" w:firstLineChars="200"/>
    </w:pPr>
    <w:rPr>
      <w:sz w:val="24"/>
      <w:lang w:val="zh-CN"/>
    </w:rPr>
  </w:style>
  <w:style w:type="paragraph" w:customStyle="1" w:styleId="86">
    <w:name w:val="自定标题3"/>
    <w:basedOn w:val="4"/>
    <w:next w:val="87"/>
    <w:qFormat/>
    <w:uiPriority w:val="0"/>
    <w:pPr>
      <w:keepNext w:val="0"/>
      <w:keepLines w:val="0"/>
      <w:snapToGrid w:val="0"/>
      <w:spacing w:before="120" w:beforeLines="50" w:after="0" w:line="360" w:lineRule="auto"/>
      <w:ind w:left="0"/>
      <w:jc w:val="left"/>
    </w:pPr>
    <w:rPr>
      <w:bCs w:val="0"/>
      <w:snapToGrid w:val="0"/>
      <w:sz w:val="24"/>
      <w:szCs w:val="20"/>
    </w:rPr>
  </w:style>
  <w:style w:type="paragraph" w:customStyle="1" w:styleId="87">
    <w:name w:val="自定正文"/>
    <w:basedOn w:val="1"/>
    <w:qFormat/>
    <w:uiPriority w:val="0"/>
    <w:pPr>
      <w:snapToGrid w:val="0"/>
      <w:spacing w:line="360" w:lineRule="auto"/>
      <w:ind w:firstLine="200" w:firstLineChars="200"/>
      <w:textAlignment w:val="center"/>
    </w:pPr>
    <w:rPr>
      <w:rFonts w:ascii="Arial" w:hAnsi="Arial" w:eastAsia="宋体" w:cs="Times New Roman"/>
      <w:snapToGrid w:val="0"/>
      <w:color w:val="000000"/>
      <w:szCs w:val="20"/>
    </w:rPr>
  </w:style>
  <w:style w:type="paragraph" w:customStyle="1" w:styleId="88">
    <w:name w:val="WPSOffice手动目录 1"/>
    <w:qFormat/>
    <w:uiPriority w:val="0"/>
    <w:pPr>
      <w:ind w:leftChars="0"/>
    </w:pPr>
    <w:rPr>
      <w:rFonts w:ascii="Times New Roman" w:hAnsi="Times New Roman" w:eastAsia="宋体" w:cs="Times New Roman"/>
      <w:sz w:val="20"/>
      <w:szCs w:val="20"/>
    </w:rPr>
  </w:style>
  <w:style w:type="table" w:customStyle="1" w:styleId="89">
    <w:name w:val="Table Normal"/>
    <w:unhideWhenUsed/>
    <w:qFormat/>
    <w:uiPriority w:val="0"/>
    <w:tblPr>
      <w:tblCellMar>
        <w:top w:w="0" w:type="dxa"/>
        <w:left w:w="0" w:type="dxa"/>
        <w:bottom w:w="0" w:type="dxa"/>
        <w:right w:w="0" w:type="dxa"/>
      </w:tblCellMar>
    </w:tblPr>
  </w:style>
  <w:style w:type="character" w:customStyle="1" w:styleId="90">
    <w:name w:val="font31"/>
    <w:basedOn w:val="35"/>
    <w:qFormat/>
    <w:uiPriority w:val="0"/>
    <w:rPr>
      <w:rFonts w:hint="default" w:ascii="Times New Roman" w:hAnsi="Times New Roman" w:cs="Times New Roman"/>
      <w:color w:val="000000"/>
      <w:sz w:val="21"/>
      <w:szCs w:val="21"/>
      <w:u w:val="none"/>
    </w:rPr>
  </w:style>
  <w:style w:type="character" w:customStyle="1" w:styleId="91">
    <w:name w:val="font21"/>
    <w:basedOn w:val="35"/>
    <w:qFormat/>
    <w:uiPriority w:val="0"/>
    <w:rPr>
      <w:rFonts w:hint="eastAsia" w:ascii="宋体" w:hAnsi="宋体" w:eastAsia="宋体" w:cs="宋体"/>
      <w:color w:val="000000"/>
      <w:sz w:val="21"/>
      <w:szCs w:val="21"/>
      <w:u w:val="none"/>
    </w:rPr>
  </w:style>
  <w:style w:type="character" w:customStyle="1" w:styleId="92">
    <w:name w:val="font51"/>
    <w:basedOn w:val="35"/>
    <w:qFormat/>
    <w:uiPriority w:val="0"/>
    <w:rPr>
      <w:rFonts w:hint="default" w:ascii="Times New Roman" w:hAnsi="Times New Roman" w:cs="Times New Roman"/>
      <w:b/>
      <w:bCs/>
      <w:color w:val="000000"/>
      <w:sz w:val="21"/>
      <w:szCs w:val="21"/>
      <w:u w:val="none"/>
    </w:rPr>
  </w:style>
  <w:style w:type="character" w:customStyle="1" w:styleId="93">
    <w:name w:val="font41"/>
    <w:basedOn w:val="35"/>
    <w:qFormat/>
    <w:uiPriority w:val="0"/>
    <w:rPr>
      <w:rFonts w:hint="default" w:ascii="Times New Roman" w:hAnsi="Times New Roman" w:cs="Times New Roman"/>
      <w:b/>
      <w:bCs/>
      <w:color w:val="000000"/>
      <w:sz w:val="21"/>
      <w:szCs w:val="21"/>
      <w:u w:val="none"/>
    </w:rPr>
  </w:style>
  <w:style w:type="character" w:customStyle="1" w:styleId="94">
    <w:name w:val="font11"/>
    <w:basedOn w:val="35"/>
    <w:qFormat/>
    <w:uiPriority w:val="0"/>
    <w:rPr>
      <w:rFonts w:hint="eastAsia" w:ascii="宋体" w:hAnsi="宋体" w:eastAsia="宋体" w:cs="宋体"/>
      <w:b/>
      <w:bCs/>
      <w:color w:val="000000"/>
      <w:sz w:val="21"/>
      <w:szCs w:val="21"/>
      <w:u w:val="none"/>
    </w:rPr>
  </w:style>
  <w:style w:type="character" w:customStyle="1" w:styleId="95">
    <w:name w:val="font61"/>
    <w:basedOn w:val="35"/>
    <w:qFormat/>
    <w:uiPriority w:val="0"/>
    <w:rPr>
      <w:rFonts w:hint="default" w:ascii="Times New Roman" w:hAnsi="Times New Roman" w:cs="Times New Roman"/>
      <w:b/>
      <w:bCs/>
      <w:color w:val="FF0000"/>
      <w:sz w:val="21"/>
      <w:szCs w:val="21"/>
      <w:u w:val="none"/>
    </w:rPr>
  </w:style>
  <w:style w:type="character" w:customStyle="1" w:styleId="96">
    <w:name w:val="font71"/>
    <w:basedOn w:val="35"/>
    <w:qFormat/>
    <w:uiPriority w:val="0"/>
    <w:rPr>
      <w:rFonts w:hint="default" w:ascii="Times New Roman" w:hAnsi="Times New Roman" w:cs="Times New Roman"/>
      <w:b/>
      <w:bCs/>
      <w:color w:val="000000"/>
      <w:sz w:val="21"/>
      <w:szCs w:val="21"/>
      <w:u w:val="none"/>
    </w:rPr>
  </w:style>
  <w:style w:type="paragraph" w:customStyle="1" w:styleId="97">
    <w:name w:val="报告表正文标注文字"/>
    <w:basedOn w:val="84"/>
    <w:qFormat/>
    <w:uiPriority w:val="0"/>
    <w:pPr>
      <w:ind w:firstLine="482"/>
    </w:pPr>
    <w:rPr>
      <w:b/>
      <w:color w:val="FF0000"/>
    </w:rPr>
  </w:style>
  <w:style w:type="character" w:customStyle="1" w:styleId="98">
    <w:name w:val="font81"/>
    <w:basedOn w:val="35"/>
    <w:qFormat/>
    <w:uiPriority w:val="0"/>
    <w:rPr>
      <w:rFonts w:hint="default" w:ascii="Times New Roman" w:hAnsi="Times New Roman" w:cs="Times New Roman"/>
      <w:color w:val="000000"/>
      <w:sz w:val="21"/>
      <w:szCs w:val="21"/>
      <w:u w:val="none"/>
    </w:rPr>
  </w:style>
  <w:style w:type="paragraph" w:customStyle="1" w:styleId="99">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100">
    <w:name w:val="样式 黑色 行距: 最小值 26 磅"/>
    <w:basedOn w:val="1"/>
    <w:qFormat/>
    <w:uiPriority w:val="0"/>
    <w:pPr>
      <w:ind w:firstLine="200" w:firstLineChars="200"/>
      <w:jc w:val="left"/>
    </w:pPr>
    <w:rPr>
      <w:rFonts w:ascii="Times New Roman" w:hAnsi="Times New Roman" w:eastAsia="楷体_GB2312" w:cs="宋体"/>
      <w:color w:val="000000"/>
      <w:spacing w:val="6"/>
      <w:sz w:val="28"/>
      <w:szCs w:val="20"/>
    </w:rPr>
  </w:style>
  <w:style w:type="paragraph" w:customStyle="1" w:styleId="101">
    <w:name w:val="J-图文-正文（YHY-GDB)"/>
    <w:basedOn w:val="1"/>
    <w:qFormat/>
    <w:uiPriority w:val="0"/>
    <w:pPr>
      <w:adjustRightInd w:val="0"/>
      <w:snapToGrid w:val="0"/>
      <w:spacing w:line="240" w:lineRule="atLeast"/>
    </w:pPr>
  </w:style>
  <w:style w:type="paragraph" w:customStyle="1" w:styleId="102">
    <w:name w:val="空白表格"/>
    <w:qFormat/>
    <w:uiPriority w:val="0"/>
    <w:pPr>
      <w:widowControl w:val="0"/>
      <w:spacing w:line="240" w:lineRule="auto"/>
      <w:ind w:firstLine="0" w:firstLineChars="0"/>
      <w:jc w:val="center"/>
    </w:pPr>
    <w:rPr>
      <w:rFonts w:ascii="Times New Roman" w:hAnsi="Times New Roman" w:eastAsia="宋体" w:cs="Times New Roman"/>
      <w:bCs/>
      <w:kern w:val="2"/>
      <w:sz w:val="21"/>
      <w:szCs w:val="24"/>
      <w:lang w:val="en-US" w:eastAsia="zh-CN" w:bidi="ar-SA"/>
    </w:rPr>
  </w:style>
  <w:style w:type="paragraph" w:customStyle="1" w:styleId="103">
    <w:name w:val="样式 样式 (中文) 仿宋_GB2312 居中1 + 小四"/>
    <w:basedOn w:val="1"/>
    <w:qFormat/>
    <w:uiPriority w:val="0"/>
    <w:pPr>
      <w:jc w:val="center"/>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jpe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oleObject" Target="embeddings/oleObject3.bin"/><Relationship Id="rId17" Type="http://schemas.openxmlformats.org/officeDocument/2006/relationships/image" Target="media/image2.emf"/><Relationship Id="rId16" Type="http://schemas.openxmlformats.org/officeDocument/2006/relationships/oleObject" Target="embeddings/oleObject2.bin"/><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984151ae-3d1a-4df1-9677-4b774f8dde76</errorID>
      <errorWord>(</errorWord>
      <group>L1_Format</group>
      <groupName>格式问题</groupName>
      <ability>L2_HalfPunc_CN</ability>
      <abilityName>全半角问题</abilityName>
      <candidateList>
        <item>（</item>
      </candidateList>
      <explain>文本全半角错误。</explain>
      <paraID>615A5867</paraID>
      <start>4</start>
      <end>5</end>
      <status>unmodified</status>
      <modifiedWord/>
      <trackRevisions>false</trackRevisions>
    </reviewItem>
    <reviewItem>
      <errorID>4dd6198a-a42b-4907-899b-dec6c3fd7a78</errorID>
      <errorWord>)</errorWord>
      <group>L1_Format</group>
      <groupName>格式问题</groupName>
      <ability>L2_HalfPunc_CN</ability>
      <abilityName>全半角问题</abilityName>
      <candidateList>
        <item>）</item>
      </candidateList>
      <explain>文本全半角错误。</explain>
      <paraID>615A5867</paraID>
      <start>7</start>
      <end>8</end>
      <status>unmodified</status>
      <modifiedWord/>
      <trackRevisions>false</trackRevisions>
    </reviewItem>
    <reviewItem>
      <errorID>19d22a10-dd2b-48d6-9104-edf39c724435</errorID>
      <errorWord>-</errorWord>
      <group>L1_Format</group>
      <groupName>格式问题</groupName>
      <ability>L2_HalfPunc_CN</ability>
      <abilityName>全半角问题</abilityName>
      <candidateList>
        <item>－</item>
      </candidateList>
      <explain>文本全半角错误。</explain>
      <paraID> 4D4EDD2</paraID>
      <start>26</start>
      <end>27</end>
      <status>unmodified</status>
      <modifiedWord/>
      <trackRevisions>false</trackRevisions>
    </reviewItem>
    <reviewItem>
      <errorID>a95991b8-0ea8-4ce7-bbc1-c8a55861884b</errorID>
      <errorWord>-</errorWord>
      <group>L1_Format</group>
      <groupName>格式问题</groupName>
      <ability>L2_HalfPunc_CN</ability>
      <abilityName>全半角问题</abilityName>
      <candidateList>
        <item>－</item>
      </candidateList>
      <explain>文本全半角错误。</explain>
      <paraID> 4D4EDD2</paraID>
      <start>27</start>
      <end>28</end>
      <status>unmodified</status>
      <modifiedWord/>
      <trackRevisions>false</trackRevisions>
    </reviewItem>
    <reviewItem>
      <errorID>0e842b88-09a1-497d-a0ee-11697794e6df</errorID>
      <errorWord>-</errorWord>
      <group>L1_Format</group>
      <groupName>格式问题</groupName>
      <ability>L2_HalfPunc_CN</ability>
      <abilityName>全半角问题</abilityName>
      <candidateList>
        <item>－</item>
      </candidateList>
      <explain>文本全半角错误。</explain>
      <paraID>7E48B690</paraID>
      <start>28</start>
      <end>29</end>
      <status>unmodified</status>
      <modifiedWord/>
      <trackRevisions>false</trackRevisions>
    </reviewItem>
    <reviewItem>
      <errorID>052b606f-bfd0-45c5-b3d1-6718902fa8e1</errorID>
      <errorWord>-</errorWord>
      <group>L1_Format</group>
      <groupName>格式问题</groupName>
      <ability>L2_HalfPunc_CN</ability>
      <abilityName>全半角问题</abilityName>
      <candidateList>
        <item>－</item>
      </candidateList>
      <explain>文本全半角错误。</explain>
      <paraID> 354123B</paraID>
      <start>29</start>
      <end>30</end>
      <status>unmodified</status>
      <modifiedWord/>
      <trackRevisions>false</trackRevisions>
    </reviewItem>
    <reviewItem>
      <errorID>6f734f17-15d8-4a38-a48e-a7038c3d2d2d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579A8C74</paraID>
      <start>67</start>
      <end>68</end>
      <status>unmodified</status>
      <modifiedWord/>
      <trackRevisions>false</trackRevisions>
    </reviewItem>
    <reviewItem>
      <errorID>ff16b3a9-db9d-4a26-b0f1-ffd7f26be3db</errorID>
      <errorWord>-</errorWord>
      <group>L1_Format</group>
      <groupName>格式问题</groupName>
      <ability>L2_HalfPunc_CN</ability>
      <abilityName>全半角问题</abilityName>
      <candidateList>
        <item>－</item>
      </candidateList>
      <explain>文本全半角错误。</explain>
      <paraID>155515F2</paraID>
      <start>3</start>
      <end>4</end>
      <status>unmodified</status>
      <modifiedWord/>
      <trackRevisions>false</trackRevisions>
    </reviewItem>
    <reviewItem>
      <errorID>7fc539ca-3e56-4c7a-9009-06589cece58f</errorID>
      <errorWord>-</errorWord>
      <group>L1_Format</group>
      <groupName>格式问题</groupName>
      <ability>L2_HalfPunc_CN</ability>
      <abilityName>全半角问题</abilityName>
      <candidateList>
        <item>－</item>
      </candidateList>
      <explain>文本全半角错误。</explain>
      <paraID>155515F2</paraID>
      <start>8</start>
      <end>9</end>
      <status>unmodified</status>
      <modifiedWord/>
      <trackRevisions>false</trackRevisions>
    </reviewItem>
    <reviewItem>
      <errorID>ff0ba194-ca48-4fb4-ba8b-39e27311e1b0</errorID>
      <errorWord>胶粘剂</errorWord>
      <group>L1_Word</group>
      <groupName>字词问题</groupName>
      <ability>L2_Typo</ability>
      <abilityName>字词错误</abilityName>
      <candidateList>
        <item>胶黏剂</item>
      </candidateList>
      <explain/>
      <paraID>512A2286</paraID>
      <start>42</start>
      <end>45</end>
      <status>unmodified</status>
      <modifiedWord/>
      <trackRevisions>false</trackRevisions>
    </reviewItem>
    <reviewItem>
      <errorID>e2d59c05-9386-4d02-9b4a-29ef278b25f1</errorID>
      <errorWord>胶粘剂</errorWord>
      <group>L1_Word</group>
      <groupName>字词问题</groupName>
      <ability>L2_Typo</ability>
      <abilityName>字词错误</abilityName>
      <candidateList>
        <item>胶黏剂</item>
      </candidateList>
      <explain/>
      <paraID>2A4C4A09</paraID>
      <start>21</start>
      <end>24</end>
      <status>unmodified</status>
      <modifiedWord/>
      <trackRevisions>false</trackRevisions>
    </reviewItem>
    <reviewItem>
      <errorID>fb7653f1-348a-48b0-b05d-06f8aa4a8b12</errorID>
      <errorWord>告</errorWord>
      <group>L1_Word</group>
      <groupName>字词问题</groupName>
      <ability>L2_Typo</ability>
      <abilityName>字词错误</abilityName>
      <candidateList>
        <item>告中</item>
      </candidateList>
      <explain/>
      <paraID>5855720F</paraID>
      <start>64</start>
      <end>65</end>
      <status>unmodified</status>
      <modifiedWord/>
      <trackRevisions>false</trackRevisions>
    </reviewItem>
    <reviewItem>
      <errorID>118b07cb-78b9-4c3a-9452-ad9e44965f1f</errorID>
      <errorWord>(</errorWord>
      <group>L1_Format</group>
      <groupName>格式问题</groupName>
      <ability>L2_HalfPunc_CN</ability>
      <abilityName>全半角问题</abilityName>
      <candidateList>
        <item>（</item>
      </candidateList>
      <explain>文本全半角错误。</explain>
      <paraID>1ADAF012</paraID>
      <start>13</start>
      <end>14</end>
      <status>unmodified</status>
      <modifiedWord/>
      <trackRevisions>false</trackRevisions>
    </reviewItem>
    <reviewItem>
      <errorID>67150945-67ac-4701-897c-24c1b3096e54</errorID>
      <errorWord>)</errorWord>
      <group>L1_Format</group>
      <groupName>格式问题</groupName>
      <ability>L2_HalfPunc_CN</ability>
      <abilityName>全半角问题</abilityName>
      <candidateList>
        <item>）</item>
      </candidateList>
      <explain>文本全半角错误。</explain>
      <paraID>1ADAF012</paraID>
      <start>15</start>
      <end>16</end>
      <status>unmodified</status>
      <modifiedWord/>
      <trackRevisions>false</trackRevisions>
    </reviewItem>
    <reviewItem>
      <errorID>af14480c-1ed7-4aaa-988e-3e107df80ad8</errorID>
      <errorWord>,</errorWord>
      <group>L1_Format</group>
      <groupName>格式问题</groupName>
      <ability>L2_HalfPunc_CN</ability>
      <abilityName>全半角问题</abilityName>
      <candidateList>
        <item>，</item>
      </candidateList>
      <explain>文本全半角错误。</explain>
      <paraID>1ADAF012</paraID>
      <start>50</start>
      <end>51</end>
      <status>unmodified</status>
      <modifiedWord/>
      <trackRevisions>false</trackRevisions>
    </reviewItem>
    <reviewItem>
      <errorID>9e2f14ac-4619-4815-a72b-a72d6fcf2f7b</errorID>
      <errorWord>(</errorWord>
      <group>L1_Format</group>
      <groupName>格式问题</groupName>
      <ability>L2_HalfPunc_CN</ability>
      <abilityName>全半角问题</abilityName>
      <candidateList>
        <item>（</item>
      </candidateList>
      <explain>文本全半角错误。</explain>
      <paraID>60F1BDD8</paraID>
      <start>21</start>
      <end>22</end>
      <status>unmodified</status>
      <modifiedWord/>
      <trackRevisions>false</trackRevisions>
    </reviewItem>
    <reviewItem>
      <errorID>7b945761-3b5f-45ca-9d14-48068229b6a6</errorID>
      <errorWord>)</errorWord>
      <group>L1_Format</group>
      <groupName>格式问题</groupName>
      <ability>L2_HalfPunc_CN</ability>
      <abilityName>全半角问题</abilityName>
      <candidateList>
        <item>）</item>
      </candidateList>
      <explain>文本全半角错误。</explain>
      <paraID>60F1BDD8</paraID>
      <start>23</start>
      <end>24</end>
      <status>unmodified</status>
      <modifiedWord/>
      <trackRevisions>false</trackRevisions>
    </reviewItem>
    <reviewItem>
      <errorID>fce6a147-933f-4911-908b-8c9ee61c6cdb</errorID>
      <errorWord>0.001%~0.5%</errorWord>
      <group>L1_Knowledge</group>
      <groupName>知识性问题</groupName>
      <ability>L2_Knowledge</ability>
      <abilityName>其他知识</abilityName>
      <candidateList>
        <item>0.001%～0.5%</item>
      </candidateList>
      <explain>1. “0.001%~0.5%”中的单位“%”仅出现在后一个数字上，容易引起歧义；根据《现代汉语标点符号数字用法规范手册》，数字表示范围两边需要使用统一的格式。2. 根据标点国标 4.13 中的规则，数字、时间或地域连接符应使用（视觉上更长的）“—”或“～”。</explain>
      <paraID>3697F176</paraID>
      <start>136</start>
      <end>147</end>
      <status>unmodified</status>
      <modifiedWord/>
      <trackRevisions>false</trackRevisions>
    </reviewItem>
    <reviewItem>
      <errorID>6f48999c-7134-49a3-b325-b22176145e49</errorID>
      <errorWord>)</errorWord>
      <group>L1_Format</group>
      <groupName>格式问题</groupName>
      <ability>L2_HalfPunc_CN</ability>
      <abilityName>全半角问题</abilityName>
      <candidateList>
        <item>）</item>
      </candidateList>
      <explain>文本全半角错误。</explain>
      <paraID>2F892415</paraID>
      <start>53</start>
      <end>54</end>
      <status>unmodified</status>
      <modifiedWord/>
      <trackRevisions>false</trackRevisions>
    </reviewItem>
    <reviewItem>
      <errorID>f91c5b31-8f1a-4a30-a202-ee7109bf6262</errorID>
      <errorWord>-</errorWord>
      <group>L1_Format</group>
      <groupName>格式问题</groupName>
      <ability>L2_HalfPunc_CN</ability>
      <abilityName>全半角问题</abilityName>
      <candidateList>
        <item>－</item>
      </candidateList>
      <explain>文本全半角错误。</explain>
      <paraID>1570E9B9</paraID>
      <start>25</start>
      <end>26</end>
      <status>unmodified</status>
      <modifiedWord/>
      <trackRevisions>false</trackRevisions>
    </reviewItem>
    <reviewItem>
      <errorID>58cd4295-17fd-4995-96a4-032102b75016</errorID>
      <errorWord>胶粘剂</errorWord>
      <group>L1_Word</group>
      <groupName>字词问题</groupName>
      <ability>L2_Typo</ability>
      <abilityName>字词错误</abilityName>
      <candidateList>
        <item>胶黏剂</item>
      </candidateList>
      <explain/>
      <paraID>57838866</paraID>
      <start>46</start>
      <end>49</end>
      <status>unmodified</status>
      <modifiedWord/>
      <trackRevisions>false</trackRevisions>
    </reviewItem>
    <reviewItem>
      <errorID>dd9a5b7e-35a7-4763-9324-fe82801d9e1b</errorID>
      <errorWord>胶粘剂</errorWord>
      <group>L1_Word</group>
      <groupName>字词问题</groupName>
      <ability>L2_Typo</ability>
      <abilityName>字词错误</abilityName>
      <candidateList>
        <item>胶黏剂</item>
      </candidateList>
      <explain/>
      <paraID>2F10E333</paraID>
      <start>22</start>
      <end>25</end>
      <status>unmodified</status>
      <modifiedWord/>
      <trackRevisions>false</trackRevisions>
    </reviewItem>
    <reviewItem>
      <errorID>367c6081-78dc-439d-a031-194ff410eaa2</errorID>
      <errorWord>(</errorWord>
      <group>L1_Format</group>
      <groupName>格式问题</groupName>
      <ability>L2_HalfPunc_CN</ability>
      <abilityName>全半角问题</abilityName>
      <candidateList>
        <item>（</item>
      </candidateList>
      <explain>文本全半角错误。</explain>
      <paraID>490885A1</paraID>
      <start>310</start>
      <end>311</end>
      <status>unmodified</status>
      <modifiedWord/>
      <trackRevisions>false</trackRevisions>
    </reviewItem>
    <reviewItem>
      <errorID>8ce332b5-96e0-4437-9b71-66bd291e1b9f</errorID>
      <errorWord>)</errorWord>
      <group>L1_Format</group>
      <groupName>格式问题</groupName>
      <ability>L2_HalfPunc_CN</ability>
      <abilityName>全半角问题</abilityName>
      <candidateList>
        <item>）</item>
      </candidateList>
      <explain>文本全半角错误。</explain>
      <paraID>490885A1</paraID>
      <start>315</start>
      <end>316</end>
      <status>unmodified</status>
      <modifiedWord/>
      <trackRevisions>false</trackRevisions>
    </reviewItem>
    <reviewItem>
      <errorID>8fd1f7c6-da79-43df-9870-cb2f4cc32def</errorID>
      <errorWord>全</errorWord>
      <group>L1_Word</group>
      <groupName>字词问题</groupName>
      <ability>L2_Typo</ability>
      <abilityName>字词错误</abilityName>
      <candidateList>
        <item>全部</item>
      </candidateList>
      <explain/>
      <paraID>55A3278D</paraID>
      <start>49</start>
      <end>50</end>
      <status>unmodified</status>
      <modifiedWord/>
      <trackRevisions>false</trackRevisions>
    </reviewItem>
    <reviewItem>
      <errorID>343b4117-3556-4aa2-8892-e676174fe432</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6A0E2F71</paraID>
      <start>93</start>
      <end>95</end>
      <status>unmodified</status>
      <modifiedWord/>
      <trackRevisions>false</trackRevisions>
    </reviewItem>
    <reviewItem>
      <errorID>5812b436-a40c-4dd3-ae72-81cbfec3b6d1</errorID>
      <errorWord>(</errorWord>
      <group>L1_Format</group>
      <groupName>格式问题</groupName>
      <ability>L2_HalfPunc_CN</ability>
      <abilityName>全半角问题</abilityName>
      <candidateList>
        <item>（</item>
      </candidateList>
      <explain>文本全半角错误。</explain>
      <paraID>3786767F</paraID>
      <start>11</start>
      <end>12</end>
      <status>unmodified</status>
      <modifiedWord/>
      <trackRevisions>false</trackRevisions>
    </reviewItem>
    <reviewItem>
      <errorID>790e5ce4-9afd-4ee4-aab3-10071403b6a4</errorID>
      <errorWord>)年</errorWord>
      <group>L1_Word</group>
      <groupName>字词问题</groupName>
      <ability>L2_Typo</ability>
      <abilityName>字词错误</abilityName>
      <candidateList>
        <item>)</item>
      </candidateList>
      <explain/>
      <paraID>3786767F</paraID>
      <start>21</start>
      <end>23</end>
      <status>unmodified</status>
      <modifiedWord/>
      <trackRevisions>false</trackRevisions>
    </reviewItem>
    <reviewItem>
      <errorID>8c32778b-5e92-48b2-b3d2-722691498412</errorID>
      <errorWord>(</errorWord>
      <group>L1_Format</group>
      <groupName>格式问题</groupName>
      <ability>L2_HalfPunc_CN</ability>
      <abilityName>全半角问题</abilityName>
      <candidateList>
        <item>（</item>
      </candidateList>
      <explain>文本全半角错误。</explain>
      <paraID>3786767F</paraID>
      <start>43</start>
      <end>44</end>
      <status>unmodified</status>
      <modifiedWord/>
      <trackRevisions>false</trackRevisions>
    </reviewItem>
    <reviewItem>
      <errorID>5e885113-e87f-4b87-bae6-4ca731fdf439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3786767F</paraID>
      <start>48</start>
      <end>49</end>
      <status>unmodified</status>
      <modifiedWord/>
      <trackRevisions>false</trackRevisions>
    </reviewItem>
    <reviewItem>
      <errorID>96f3ce00-92c4-4ea6-9fd2-932d31445828</errorID>
      <errorWord>)</errorWord>
      <group>L1_Format</group>
      <groupName>格式问题</groupName>
      <ability>L2_HalfPunc_CN</ability>
      <abilityName>全半角问题</abilityName>
      <candidateList>
        <item>）</item>
      </candidateList>
      <explain>文本全半角错误。</explain>
      <paraID>3786767F</paraID>
      <start>54</start>
      <end>55</end>
      <status>unmodified</status>
      <modifiedWord/>
      <trackRevisions>false</trackRevisions>
    </reviewItem>
    <reviewItem>
      <errorID>1fa41eb7-d8ab-4282-b337-51beca892299</errorID>
      <errorWord>(</errorWord>
      <group>L1_Format</group>
      <groupName>格式问题</groupName>
      <ability>L2_HalfPunc_CN</ability>
      <abilityName>全半角问题</abilityName>
      <candidateList>
        <item>（</item>
      </candidateList>
      <explain>文本全半角错误。</explain>
      <paraID> B3795D2</paraID>
      <start>158</start>
      <end>159</end>
      <status>unmodified</status>
      <modifiedWord/>
      <trackRevisions>false</trackRevisions>
    </reviewItem>
    <reviewItem>
      <errorID>fa3554eb-81f4-4d9c-b4c1-2e67947222d2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B3795D2</paraID>
      <start>163</start>
      <end>164</end>
      <status>unmodified</status>
      <modifiedWord/>
      <trackRevisions>false</trackRevisions>
    </reviewItem>
    <reviewItem>
      <errorID>ec82e526-3ab4-463a-8805-de56d1d61d55</errorID>
      <errorWord>)</errorWord>
      <group>L1_Format</group>
      <groupName>格式问题</groupName>
      <ability>L2_HalfPunc_CN</ability>
      <abilityName>全半角问题</abilityName>
      <candidateList>
        <item>）</item>
      </candidateList>
      <explain>文本全半角错误。</explain>
      <paraID> B3795D2</paraID>
      <start>169</start>
      <end>170</end>
      <status>unmodified</status>
      <modifiedWord/>
      <trackRevisions>false</trackRevisions>
    </reviewItem>
    <reviewItem>
      <errorID>69ee6169-9acc-4a3a-b511-b1c2ca70fd45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B3795D2</paraID>
      <start>302</start>
      <end>303</end>
      <status>unmodified</status>
      <modifiedWord/>
      <trackRevisions>false</trackRevisions>
    </reviewItem>
    <reviewItem>
      <errorID>8a863f37-825a-4840-88a5-991e189c4750</errorID>
      <errorWord>-</errorWord>
      <group>L1_Format</group>
      <groupName>格式问题</groupName>
      <ability>L2_HalfPunc_CN</ability>
      <abilityName>全半角问题</abilityName>
      <candidateList>
        <item>－</item>
      </candidateList>
      <explain>文本全半角错误。</explain>
      <paraID>1516C020</paraID>
      <start>26</start>
      <end>27</end>
      <status>unmodified</status>
      <modifiedWord/>
      <trackRevisions>false</trackRevisions>
    </reviewItem>
    <reviewItem>
      <errorID>24658a47-801f-4e20-89c3-8423bb75e806</errorID>
      <errorWord>-</errorWord>
      <group>L1_Format</group>
      <groupName>格式问题</groupName>
      <ability>L2_HalfPunc_CN</ability>
      <abilityName>全半角问题</abilityName>
      <candidateList>
        <item>－</item>
      </candidateList>
      <explain>文本全半角错误。</explain>
      <paraID>1516C020</paraID>
      <start>27</start>
      <end>28</end>
      <status>unmodified</status>
      <modifiedWord/>
      <trackRevisions>false</trackRevisions>
    </reviewItem>
    <reviewItem>
      <errorID>9f2f2e41-e76b-472c-9e86-7519c5b26431</errorID>
      <errorWord>-</errorWord>
      <group>L1_Format</group>
      <groupName>格式问题</groupName>
      <ability>L2_HalfPunc_CN</ability>
      <abilityName>全半角问题</abilityName>
      <candidateList>
        <item>－</item>
      </candidateList>
      <explain>文本全半角错误。</explain>
      <paraID>7D8CB9B4</paraID>
      <start>28</start>
      <end>29</end>
      <status>unmodified</status>
      <modifiedWord/>
      <trackRevisions>false</trackRevisions>
    </reviewItem>
    <reviewItem>
      <errorID>9d9c745c-cd57-4cb8-acce-a2b5de90d13c</errorID>
      <errorWord>-</errorWord>
      <group>L1_Format</group>
      <groupName>格式问题</groupName>
      <ability>L2_HalfPunc_CN</ability>
      <abilityName>全半角问题</abilityName>
      <candidateList>
        <item>－</item>
      </candidateList>
      <explain>文本全半角错误。</explain>
      <paraID>5F13096F</paraID>
      <start>29</start>
      <end>30</end>
      <status>unmodified</status>
      <modifiedWord/>
      <trackRevisions>false</trackRevisions>
    </reviewItem>
    <reviewItem>
      <errorID>6ca97d3e-7825-4a07-9096-5467ac84a216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109901AE</paraID>
      <start>0</start>
      <end>2</end>
      <status>unmodified</status>
      <modifiedWord/>
      <trackRevisions>false</trackRevisions>
    </reviewItem>
    <reviewItem>
      <errorID>d67fba5a-bf4f-4b7b-93cc-d8a4ee293308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7813FBE5</paraID>
      <start>0</start>
      <end>2</end>
      <status>unmodified</status>
      <modifiedWord/>
      <trackRevisions>false</trackRevisions>
    </reviewItem>
    <reviewItem>
      <errorID>aebc20c7-d729-47b6-91ca-b4f92122e2ed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64CC5A2C</paraID>
      <start>0</start>
      <end>2</end>
      <status>unmodified</status>
      <modifiedWord/>
      <trackRevisions>false</trackRevisions>
    </reviewItem>
    <reviewItem>
      <errorID>36fe74f6-9d01-46e8-8d82-97840ce72e50</errorID>
      <errorWord>9%~10.5%</errorWord>
      <group>L1_Knowledge</group>
      <groupName>知识性问题</groupName>
      <ability>L2_Knowledge</ability>
      <abilityName>其他知识</abilityName>
      <candidateList>
        <item>9%～10.5%</item>
      </candidateList>
      <explain>1. “9%~10.5%”中的单位“%”仅出现在后一个数字上，容易引起歧义；根据《现代汉语标点符号数字用法规范手册》，数字表示范围两边需要使用统一的格式。2. 根据标点国标 4.13 中的规则，数字、时间或地域连接符应使用（视觉上更长的）“—”或“～”。</explain>
      <paraID>22A19A19</paraID>
      <start>27</start>
      <end>35</end>
      <status>unmodified</status>
      <modifiedWord/>
      <trackRevisions>false</trackRevisions>
    </reviewItem>
    <reviewItem>
      <errorID>af470938-9d30-4e22-b453-b05d6ff65d67</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22A19A19</paraID>
      <start>66</start>
      <end>71</end>
      <status>unmodified</status>
      <modifiedWord/>
      <trackRevisions>false</trackRevisions>
    </reviewItem>
    <reviewItem>
      <errorID>686c78d3-c1f9-4ba6-971c-55b7e2b1fe19</errorID>
      <errorWord>，</errorWord>
      <group>L1_Word</group>
      <groupName>字词问题</groupName>
      <ability>L2_Typo</ability>
      <abilityName>字词错误</abilityName>
      <candidateList>
        <item>，具</item>
      </candidateList>
      <explain/>
      <paraID>3F885B7E</paraID>
      <start>35</start>
      <end>36</end>
      <status>unmodified</status>
      <modifiedWord/>
      <trackRevisions>false</trackRevisions>
    </reviewItem>
    <reviewItem>
      <errorID>9be7606a-b869-4979-b00c-3135c6b6f34a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164A9C0A</paraID>
      <start>0</start>
      <end>2</end>
      <status>unmodified</status>
      <modifiedWord/>
      <trackRevisions>false</trackRevisions>
    </reviewItem>
    <reviewItem>
      <errorID>39523fe0-025a-49a6-b615-0b76c37131db</errorID>
      <errorWord>kw</errorWord>
      <group>L1_Word</group>
      <groupName>字词问题</groupName>
      <ability>L2_Typo</ability>
      <abilityName>字词错误</abilityName>
      <candidateList>
        <item>kW</item>
      </candidateList>
      <explain/>
      <paraID>54454F11</paraID>
      <start>5</start>
      <end>7</end>
      <status>unmodified</status>
      <modifiedWord/>
      <trackRevisions>false</trackRevisions>
    </reviewItem>
    <reviewItem>
      <errorID>82a798b1-a62d-4e41-a2f2-d467fd888463</errorID>
      <errorWord>震动盘</errorWord>
      <group>L1_Word</group>
      <groupName>字词问题</groupName>
      <ability>L2_Typo</ability>
      <abilityName>字词错误</abilityName>
      <candidateList>
        <item>振动盘</item>
      </candidateList>
      <explain>存在发音相同字词的误用。</explain>
      <paraID>78ED1ADD</paraID>
      <start>0</start>
      <end>3</end>
      <status>unmodified</status>
      <modifiedWord/>
      <trackRevisions>false</trackRevisions>
    </reviewItem>
    <reviewItem>
      <errorID>b870824c-1a42-42e9-8b9f-2d3e4ed3fccd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2FF81F2</paraID>
      <start>208</start>
      <end>211</end>
      <status>unmodified</status>
      <modifiedWord/>
      <trackRevisions>false</trackRevisions>
    </reviewItem>
    <reviewItem>
      <errorID>e831ad6b-975f-450d-bd86-491c5120c28e</errorID>
      <errorWord>(</errorWord>
      <group>L1_Format</group>
      <groupName>格式问题</groupName>
      <ability>L2_HalfPunc_CN</ability>
      <abilityName>全半角问题</abilityName>
      <candidateList>
        <item>（</item>
      </candidateList>
      <explain>文本全半角错误。</explain>
      <paraID> CC14652</paraID>
      <start>2</start>
      <end>3</end>
      <status>unmodified</status>
      <modifiedWord/>
      <trackRevisions>false</trackRevisions>
    </reviewItem>
    <reviewItem>
      <errorID>b4ca67de-9558-4bdf-b479-994e4338a879</errorID>
      <errorWord>)</errorWord>
      <group>L1_Format</group>
      <groupName>格式问题</groupName>
      <ability>L2_HalfPunc_CN</ability>
      <abilityName>全半角问题</abilityName>
      <candidateList>
        <item>）</item>
      </candidateList>
      <explain>文本全半角错误。</explain>
      <paraID> CC14652</paraID>
      <start>4</start>
      <end>5</end>
      <status>unmodified</status>
      <modifiedWord/>
      <trackRevisions>false</trackRevisions>
    </reviewItem>
    <reviewItem>
      <errorID>eff4acdf-015e-422b-bd88-511fae5c08c0</errorID>
      <errorWord>(</errorWord>
      <group>L1_Format</group>
      <groupName>格式问题</groupName>
      <ability>L2_HalfPunc_CN</ability>
      <abilityName>全半角问题</abilityName>
      <candidateList>
        <item>（</item>
      </candidateList>
      <explain>文本全半角错误。</explain>
      <paraID>3B3EA31B</paraID>
      <start>3</start>
      <end>4</end>
      <status>unmodified</status>
      <modifiedWord/>
      <trackRevisions>false</trackRevisions>
    </reviewItem>
    <reviewItem>
      <errorID>08d0a0bb-5e1b-4498-b3e2-60307a2e3fe2</errorID>
      <errorWord>)</errorWord>
      <group>L1_Format</group>
      <groupName>格式问题</groupName>
      <ability>L2_HalfPunc_CN</ability>
      <abilityName>全半角问题</abilityName>
      <candidateList>
        <item>）</item>
      </candidateList>
      <explain>文本全半角错误。</explain>
      <paraID>3B3EA31B</paraID>
      <start>5</start>
      <end>6</end>
      <status>unmodified</status>
      <modifiedWord/>
      <trackRevisions>false</trackRevisions>
    </reviewItem>
    <reviewItem>
      <errorID>54de5707-26e6-4b66-ad37-8a78380c07ad</errorID>
      <errorWord>kw</errorWord>
      <group>L1_Word</group>
      <groupName>字词问题</groupName>
      <ability>L2_Typo</ability>
      <abilityName>字词错误</abilityName>
      <candidateList>
        <item>kW</item>
      </candidateList>
      <explain/>
      <paraID> 817D38F</paraID>
      <start>2</start>
      <end>4</end>
      <status>unmodified</status>
      <modifiedWord/>
      <trackRevisions>false</trackRevisions>
    </reviewItem>
    <reviewItem>
      <errorID>26d44037-d92e-4643-95e2-9ca5cb605b64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71D5E184</paraID>
      <start>0</start>
      <end>2</end>
      <status>unmodified</status>
      <modifiedWord/>
      <trackRevisions>false</trackRevisions>
    </reviewItem>
    <reviewItem>
      <errorID>36d79e51-28c2-445c-96f6-7a4a23b882e6</errorID>
      <errorWord>：</errorWord>
      <group>L1_Format</group>
      <groupName>格式问题</groupName>
      <ability>L2_HalfPunc_CN</ability>
      <abilityName>全半角问题</abilityName>
      <candidateList>
        <item>:</item>
      </candidateList>
      <explain>文本全半角错误。</explain>
      <paraID>56FC87B0</paraID>
      <start>42</start>
      <end>43</end>
      <status>unmodified</status>
      <modifiedWord/>
      <trackRevisions>false</trackRevisions>
    </reviewItem>
    <reviewItem>
      <errorID>f1af8f3f-5ca2-48e2-96b0-7b4748ebe768</errorID>
      <errorWord>：</errorWord>
      <group>L1_Format</group>
      <groupName>格式问题</groupName>
      <ability>L2_HalfPunc_CN</ability>
      <abilityName>全半角问题</abilityName>
      <candidateList>
        <item>:</item>
      </candidateList>
      <explain>文本全半角错误。</explain>
      <paraID>56FC87B0</paraID>
      <start>48</start>
      <end>49</end>
      <status>unmodified</status>
      <modifiedWord/>
      <trackRevisions>false</trackRevisions>
    </reviewItem>
    <reviewItem>
      <errorID>7eea49d9-1f83-4c18-bb4c-0f992c4b6613</errorID>
      <errorWord>-</errorWord>
      <group>L1_Format</group>
      <groupName>格式问题</groupName>
      <ability>L2_HalfPunc_CN</ability>
      <abilityName>全半角问题</abilityName>
      <candidateList>
        <item>－</item>
      </candidateList>
      <explain>文本全半角错误。</explain>
      <paraID>5208C87C</paraID>
      <start>88</start>
      <end>89</end>
      <status>unmodified</status>
      <modifiedWord/>
      <trackRevisions>false</trackRevisions>
    </reviewItem>
    <reviewItem>
      <errorID>50bbb1e2-892a-4e52-a984-c64703e9ec37</errorID>
      <errorWord>-</errorWord>
      <group>L1_Format</group>
      <groupName>格式问题</groupName>
      <ability>L2_HalfPunc_CN</ability>
      <abilityName>全半角问题</abilityName>
      <candidateList>
        <item>－</item>
      </candidateList>
      <explain>文本全半角错误。</explain>
      <paraID>5208C87C</paraID>
      <start>92</start>
      <end>93</end>
      <status>unmodified</status>
      <modifiedWord/>
      <trackRevisions>false</trackRevisions>
    </reviewItem>
    <reviewItem>
      <errorID>965feb27-cb17-4fa8-b508-57eb9a28152a</errorID>
      <errorWord>-</errorWord>
      <group>L1_Format</group>
      <groupName>格式问题</groupName>
      <ability>L2_HalfPunc_CN</ability>
      <abilityName>全半角问题</abilityName>
      <candidateList>
        <item>－</item>
      </candidateList>
      <explain>文本全半角错误。</explain>
      <paraID>5208C87C</paraID>
      <start>99</start>
      <end>100</end>
      <status>unmodified</status>
      <modifiedWord/>
      <trackRevisions>false</trackRevisions>
    </reviewItem>
    <reviewItem>
      <errorID>5e85ecad-4ae6-486e-bce8-e3516df82903</errorID>
      <errorWord>震动盘</errorWord>
      <group>L1_Word</group>
      <groupName>字词问题</groupName>
      <ability>L2_Typo</ability>
      <abilityName>字词错误</abilityName>
      <candidateList>
        <item>振动盘</item>
      </candidateList>
      <explain>存在发音相同字词的误用。</explain>
      <paraID>479FED00</paraID>
      <start>6</start>
      <end>9</end>
      <status>unmodified</status>
      <modifiedWord/>
      <trackRevisions>false</trackRevisions>
    </reviewItem>
    <reviewItem>
      <errorID>a7c00bab-4623-4cf8-8740-6d06959fff2a</errorID>
      <errorWord>震动盘</errorWord>
      <group>L1_Word</group>
      <groupName>字词问题</groupName>
      <ability>L2_Typo</ability>
      <abilityName>字词错误</abilityName>
      <candidateList>
        <item>振动盘</item>
      </candidateList>
      <explain>存在发音相同字词的误用。</explain>
      <paraID>479FED00</paraID>
      <start>52</start>
      <end>55</end>
      <status>unmodified</status>
      <modifiedWord/>
      <trackRevisions>false</trackRevisions>
    </reviewItem>
    <reviewItem>
      <errorID>04b9afee-01c4-44cf-9cea-792c989adc70</errorID>
      <errorWord>震</errorWord>
      <group>L1_Word</group>
      <groupName>字词问题</groupName>
      <ability>L2_Typo</ability>
      <abilityName>字词错误</abilityName>
      <candidateList>
        <item>振</item>
      </candidateList>
      <explain>存在发音相同字词的误用。</explain>
      <paraID>479FED00</paraID>
      <start>58</start>
      <end>59</end>
      <status>unmodified</status>
      <modifiedWord/>
      <trackRevisions>false</trackRevisions>
    </reviewItem>
    <reviewItem>
      <errorID>bdcb39f9-36da-41d7-870a-fba905be6294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2DDACE7F</paraID>
      <start>0</start>
      <end>2</end>
      <status>unmodified</status>
      <modifiedWord/>
      <trackRevisions>false</trackRevisions>
    </reviewItem>
    <reviewItem>
      <errorID>7b09fc26-84cf-4884-bbae-b24d83dfffeb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150750EB</paraID>
      <start>0</start>
      <end>2</end>
      <status>unmodified</status>
      <modifiedWord/>
      <trackRevisions>false</trackRevisions>
    </reviewItem>
    <reviewItem>
      <errorID>43acec69-a3b8-441e-86e1-6ebff42b3e62</errorID>
      <errorWord>:</errorWord>
      <group>L1_Format</group>
      <groupName>格式问题</groupName>
      <ability>L2_HalfPunc_CN</ability>
      <abilityName>全半角问题</abilityName>
      <candidateList>
        <item>：</item>
      </candidateList>
      <explain>文本全半角错误。</explain>
      <paraID>6B87C7CF</paraID>
      <start>6</start>
      <end>7</end>
      <status>unmodified</status>
      <modifiedWord/>
      <trackRevisions>false</trackRevisions>
    </reviewItem>
    <reviewItem>
      <errorID>76041b26-33ca-4628-a58e-e7a297929df5</errorID>
      <errorWord>震动盘</errorWord>
      <group>L1_Word</group>
      <groupName>字词问题</groupName>
      <ability>L2_Typo</ability>
      <abilityName>字词错误</abilityName>
      <candidateList>
        <item>振动盘</item>
      </candidateList>
      <explain>存在发音相同字词的误用。</explain>
      <paraID> 3CEDE20</paraID>
      <start>92</start>
      <end>95</end>
      <status>unmodified</status>
      <modifiedWord/>
      <trackRevisions>false</trackRevisions>
    </reviewItem>
    <reviewItem>
      <errorID>a06eef48-c875-4cdd-a309-f35e62dcc479</errorID>
      <errorWord>震</errorWord>
      <group>L1_Word</group>
      <groupName>字词问题</groupName>
      <ability>L2_Typo</ability>
      <abilityName>字词错误</abilityName>
      <candidateList>
        <item>振</item>
      </candidateList>
      <explain>存在发音相同字词的误用。</explain>
      <paraID> 3CEDE20</paraID>
      <start>192</start>
      <end>193</end>
      <status>unmodified</status>
      <modifiedWord/>
      <trackRevisions>false</trackRevisions>
    </reviewItem>
    <reviewItem>
      <errorID>2f3dd3e4-6747-4d25-ba2f-afb7ef8c6732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36405C8</paraID>
      <start>0</start>
      <end>2</end>
      <status>unmodified</status>
      <modifiedWord/>
      <trackRevisions>false</trackRevisions>
    </reviewItem>
    <reviewItem>
      <errorID>2895ee8c-503c-49c6-9d6c-c31be2508406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C3228DB</paraID>
      <start>0</start>
      <end>2</end>
      <status>unmodified</status>
      <modifiedWord/>
      <trackRevisions>false</trackRevisions>
    </reviewItem>
    <reviewItem>
      <errorID>1bb672b6-17ad-43a8-8d67-5ca242085cec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2D1568B0</paraID>
      <start>0</start>
      <end>2</end>
      <status>unmodified</status>
      <modifiedWord/>
      <trackRevisions>false</trackRevisions>
    </reviewItem>
    <reviewItem>
      <errorID>b4d2f24a-78b6-4e06-892e-dfa6c59efcd2</errorID>
      <errorWord>[2008]96号</errorWord>
      <group>L1_Knowledge</group>
      <groupName>知识性问题</groupName>
      <ability>L2_Knowledge</ability>
      <abilityName>其他知识</abilityName>
      <candidateList>
        <item>〔2008〕96号</item>
      </candidateList>
      <explain>发文字号格式错误。</explain>
      <paraID>208690D7</paraID>
      <start>18</start>
      <end>27</end>
      <status>unmodified</status>
      <modifiedWord/>
      <trackRevisions>false</trackRevisions>
    </reviewItem>
    <reviewItem>
      <errorID>56d0488d-39bb-4de1-b782-e6ae1e0cf513</errorID>
      <errorWord>IV类</errorWord>
      <group>L1_Knowledge</group>
      <groupName>知识性问题</groupName>
      <ability>L2_Knowledge</ability>
      <abilityName>其他知识</abilityName>
      <candidateList>
        <item>Ⅳ类</item>
      </candidateList>
      <explain>中文环境下罗马数字格式错误。</explain>
      <paraID>208690D7</paraID>
      <start>36</start>
      <end>39</end>
      <status>unmodified</status>
      <modifiedWord/>
      <trackRevisions>false</trackRevisions>
    </reviewItem>
    <reviewItem>
      <errorID>2fdf5394-fdcf-4f71-8797-471949f4c381</errorID>
      <errorWord>III类</errorWord>
      <group>L1_Knowledge</group>
      <groupName>知识性问题</groupName>
      <ability>L2_Knowledge</ability>
      <abilityName>其他知识</abilityName>
      <candidateList>
        <item>Ⅲ类</item>
      </candidateList>
      <explain>中文环境下罗马数字格式错误。</explain>
      <paraID>208690D7</paraID>
      <start>117</start>
      <end>121</end>
      <status>unmodified</status>
      <modifiedWord/>
      <trackRevisions>false</trackRevisions>
    </reviewItem>
    <reviewItem>
      <errorID>9560ac3f-74a6-4001-b5d5-e4a313da9ced</errorID>
      <errorWord>III类</errorWord>
      <group>L1_Knowledge</group>
      <groupName>知识性问题</groupName>
      <ability>L2_Knowledge</ability>
      <abilityName>其他知识</abilityName>
      <candidateList>
        <item>Ⅲ类</item>
      </candidateList>
      <explain>中文环境下罗马数字格式错误。</explain>
      <paraID>208690D7</paraID>
      <start>184</start>
      <end>188</end>
      <status>unmodified</status>
      <modifiedWord/>
      <trackRevisions>false</trackRevisions>
    </reviewItem>
    <reviewItem>
      <errorID>2c913e4d-b185-48b4-ada8-3bea5bbf1a44</errorID>
      <errorWord>II类</errorWord>
      <group>L1_Knowledge</group>
      <groupName>知识性问题</groupName>
      <ability>L2_Knowledge</ability>
      <abilityName>其他知识</abilityName>
      <candidateList>
        <item>Ⅱ类</item>
      </candidateList>
      <explain>中文环境下罗马数字格式错误。</explain>
      <paraID>208690D7</paraID>
      <start>233</start>
      <end>236</end>
      <status>unmodified</status>
      <modifiedWord/>
      <trackRevisions>false</trackRevisions>
    </reviewItem>
    <reviewItem>
      <errorID>529c0356-31cf-45dc-a878-bb9b3b6d1e6a</errorID>
      <errorWord>程</errorWord>
      <group>L1_Word</group>
      <groupName>字词问题</groupName>
      <ability>L2_Typo</ability>
      <abilityName>字词错误</abilityName>
      <candidateList>
        <item>程中</item>
      </candidateList>
      <explain/>
      <paraID> F6F01A2</paraID>
      <start>4</start>
      <end>5</end>
      <status>unmodified</status>
      <modifiedWord/>
      <trackRevisions>false</trackRevisions>
    </reviewItem>
    <reviewItem>
      <errorID>24f81477-4bc0-48b7-8cb6-cf8b77d68a6e</errorID>
      <errorWord>(</errorWord>
      <group>L1_Format</group>
      <groupName>格式问题</groupName>
      <ability>L2_HalfPunc_CN</ability>
      <abilityName>全半角问题</abilityName>
      <candidateList>
        <item>（</item>
      </candidateList>
      <explain>文本全半角错误。</explain>
      <paraID> C6B2668</paraID>
      <start>11</start>
      <end>12</end>
      <status>unmodified</status>
      <modifiedWord/>
      <trackRevisions>false</trackRevisions>
    </reviewItem>
    <reviewItem>
      <errorID>ea3c9fb4-b9e5-4229-9c38-69847cd5e1f7</errorID>
      <errorWord>)</errorWord>
      <group>L1_Format</group>
      <groupName>格式问题</groupName>
      <ability>L2_HalfPunc_CN</ability>
      <abilityName>全半角问题</abilityName>
      <candidateList>
        <item>）</item>
      </candidateList>
      <explain>文本全半角错误。</explain>
      <paraID> C6B2668</paraID>
      <start>23</start>
      <end>24</end>
      <status>unmodified</status>
      <modifiedWord/>
      <trackRevisions>false</trackRevisions>
    </reviewItem>
    <reviewItem>
      <errorID>1e658241-92f1-4a8f-a9fc-34b3fdd99680</errorID>
      <errorWord>)</errorWord>
      <group>L1_Format</group>
      <groupName>格式问题</groupName>
      <ability>L2_HalfPunc_CN</ability>
      <abilityName>全半角问题</abilityName>
      <candidateList>
        <item>）</item>
      </candidateList>
      <explain>文本全半角错误。</explain>
      <paraID> 8903A6D</paraID>
      <start>68</start>
      <end>69</end>
      <status>unmodified</status>
      <modifiedWord/>
      <trackRevisions>false</trackRevisions>
    </reviewItem>
    <reviewItem>
      <errorID>e01de6d4-93a5-4316-8f2b-689e69e118c1</errorID>
      <errorWord>(</errorWord>
      <group>L1_Format</group>
      <groupName>格式问题</groupName>
      <ability>L2_HalfPunc_CN</ability>
      <abilityName>全半角问题</abilityName>
      <candidateList>
        <item>（</item>
      </candidateList>
      <explain>文本全半角错误。</explain>
      <paraID> E22DA0B</paraID>
      <start>0</start>
      <end>1</end>
      <status>unmodified</status>
      <modifiedWord/>
      <trackRevisions>false</trackRevisions>
    </reviewItem>
    <reviewItem>
      <errorID>482d707e-0eb1-4e23-9a79-ef42de5583a6</errorID>
      <errorWord>(</errorWord>
      <group>L1_Format</group>
      <groupName>格式问题</groupName>
      <ability>L2_HalfPunc_CN</ability>
      <abilityName>全半角问题</abilityName>
      <candidateList>
        <item>（</item>
      </candidateList>
      <explain>文本全半角错误。</explain>
      <paraID> 34C3E8B</paraID>
      <start>2</start>
      <end>3</end>
      <status>unmodified</status>
      <modifiedWord/>
      <trackRevisions>false</trackRevisions>
    </reviewItem>
    <reviewItem>
      <errorID>e119d800-4d9e-4f3f-a1c5-4dd6c5790a20</errorID>
      <errorWord>)</errorWord>
      <group>L1_Format</group>
      <groupName>格式问题</groupName>
      <ability>L2_HalfPunc_CN</ability>
      <abilityName>全半角问题</abilityName>
      <candidateList>
        <item>）</item>
      </candidateList>
      <explain>文本全半角错误。</explain>
      <paraID> 34C3E8B</paraID>
      <start>15</start>
      <end>16</end>
      <status>unmodified</status>
      <modifiedWord/>
      <trackRevisions>false</trackRevisions>
    </reviewItem>
    <reviewItem>
      <errorID>b0550edd-09aa-4d43-9dcd-92e92c44ea17</errorID>
      <errorWord>-</errorWord>
      <group>L1_Format</group>
      <groupName>格式问题</groupName>
      <ability>L2_HalfPunc_CN</ability>
      <abilityName>全半角问题</abilityName>
      <candidateList>
        <item>－</item>
      </candidateList>
      <explain>文本全半角错误。</explain>
      <paraID>717DA0F1</paraID>
      <start>127</start>
      <end>128</end>
      <status>unmodified</status>
      <modifiedWord/>
      <trackRevisions>false</trackRevisions>
    </reviewItem>
    <reviewItem>
      <errorID>a9c81b16-c5ee-45f1-908a-86670279a7b2</errorID>
      <errorWord>-</errorWord>
      <group>L1_Format</group>
      <groupName>格式问题</groupName>
      <ability>L2_HalfPunc_CN</ability>
      <abilityName>全半角问题</abilityName>
      <candidateList>
        <item>－</item>
      </candidateList>
      <explain>文本全半角错误。</explain>
      <paraID>292AC699</paraID>
      <start>7</start>
      <end>8</end>
      <status>unmodified</status>
      <modifiedWord/>
      <trackRevisions>false</trackRevisions>
    </reviewItem>
    <reviewItem>
      <errorID>55e6ee7b-b1fa-41f6-a8f2-9faac85babf5</errorID>
      <errorWord>-</errorWord>
      <group>L1_Format</group>
      <groupName>格式问题</groupName>
      <ability>L2_HalfPunc_CN</ability>
      <abilityName>全半角问题</abilityName>
      <candidateList>
        <item>－</item>
      </candidateList>
      <explain>文本全半角错误。</explain>
      <paraID>12F2C042</paraID>
      <start>6</start>
      <end>7</end>
      <status>unmodified</status>
      <modifiedWord/>
      <trackRevisions>false</trackRevisions>
    </reviewItem>
    <reviewItem>
      <errorID>0de7bc83-1809-4d7c-b02c-7f3921763804</errorID>
      <errorWord>-</errorWord>
      <group>L1_Format</group>
      <groupName>格式问题</groupName>
      <ability>L2_HalfPunc_CN</ability>
      <abilityName>全半角问题</abilityName>
      <candidateList>
        <item>－</item>
      </candidateList>
      <explain>文本全半角错误。</explain>
      <paraID>523C6E0B</paraID>
      <start>6</start>
      <end>7</end>
      <status>unmodified</status>
      <modifiedWord/>
      <trackRevisions>false</trackRevisions>
    </reviewItem>
    <reviewItem>
      <errorID>d8127eb2-97f9-4fed-bb11-8c26f135b368</errorID>
      <errorWord>-</errorWord>
      <group>L1_Format</group>
      <groupName>格式问题</groupName>
      <ability>L2_HalfPunc_CN</ability>
      <abilityName>全半角问题</abilityName>
      <candidateList>
        <item>－</item>
      </candidateList>
      <explain>文本全半角错误。</explain>
      <paraID>4697E5B9</paraID>
      <start>6</start>
      <end>7</end>
      <status>unmodified</status>
      <modifiedWord/>
      <trackRevisions>false</trackRevisions>
    </reviewItem>
    <reviewItem>
      <errorID>309cc51e-da1d-4df0-9506-203902a2e45f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6B4E7555</paraID>
      <start>8</start>
      <end>9</end>
      <status>unmodified</status>
      <modifiedWord/>
      <trackRevisions>false</trackRevisions>
    </reviewItem>
    <reviewItem>
      <errorID>6c480482-4943-40b9-b51a-946e25ceb4f8</errorID>
      <errorWord>)</errorWord>
      <group>L1_Format</group>
      <groupName>格式问题</groupName>
      <ability>L2_HalfPunc_CN</ability>
      <abilityName>全半角问题</abilityName>
      <candidateList>
        <item>）</item>
      </candidateList>
      <explain>文本全半角错误。</explain>
      <paraID>20A7EC8C</paraID>
      <start>41</start>
      <end>42</end>
      <status>unmodified</status>
      <modifiedWord/>
      <trackRevisions>false</trackRevisions>
    </reviewItem>
    <reviewItem>
      <errorID>64832c58-9591-4eea-a017-b9b32ebf21c4</errorID>
      <errorWord>-</errorWord>
      <group>L1_Format</group>
      <groupName>格式问题</groupName>
      <ability>L2_HalfPunc_CN</ability>
      <abilityName>全半角问题</abilityName>
      <candidateList>
        <item>－</item>
      </candidateList>
      <explain>文本全半角错误。</explain>
      <paraID>25C27727</paraID>
      <start>235</start>
      <end>236</end>
      <status>unmodified</status>
      <modifiedWord/>
      <trackRevisions>false</trackRevisions>
    </reviewItem>
    <reviewItem>
      <errorID>625b2c7b-17b3-4201-818d-270fd5917694</errorID>
      <errorWord>-</errorWord>
      <group>L1_Format</group>
      <groupName>格式问题</groupName>
      <ability>L2_HalfPunc_CN</ability>
      <abilityName>全半角问题</abilityName>
      <candidateList>
        <item>－</item>
      </candidateList>
      <explain>文本全半角错误。</explain>
      <paraID>25C27727</paraID>
      <start>238</start>
      <end>239</end>
      <status>unmodified</status>
      <modifiedWord/>
      <trackRevisions>false</trackRevisions>
    </reviewItem>
    <reviewItem>
      <errorID>bdffab15-0f6f-403e-894e-283e0e65901b</errorID>
      <errorWord>（</errorWord>
      <group>L1_Format</group>
      <groupName>格式问题</groupName>
      <ability>L2_HalfPunc_CN</ability>
      <abilityName>全半角问题</abilityName>
      <candidateList>
        <item>(</item>
      </candidateList>
      <explain>文本全半角错误。</explain>
      <paraID> F5DA8CC</paraID>
      <start>6</start>
      <end>7</end>
      <status>unmodified</status>
      <modifiedWord/>
      <trackRevisions>false</trackRevisions>
    </reviewItem>
    <reviewItem>
      <errorID>f3120108-4fca-435a-a7c8-696d6331429b</errorID>
      <errorWord>）</errorWord>
      <group>L1_Format</group>
      <groupName>格式问题</groupName>
      <ability>L2_HalfPunc_CN</ability>
      <abilityName>全半角问题</abilityName>
      <candidateList>
        <item>)</item>
      </candidateList>
      <explain>文本全半角错误。</explain>
      <paraID> F5DA8CC</paraID>
      <start>14</start>
      <end>15</end>
      <status>unmodified</status>
      <modifiedWord/>
      <trackRevisions>false</trackRevisions>
    </reviewItem>
    <reviewItem>
      <errorID>dfec6409-c946-4bc2-8372-8e11c4edd9ab</errorID>
      <errorWord>程</errorWord>
      <group>L1_Word</group>
      <groupName>字词问题</groupName>
      <ability>L2_Typo</ability>
      <abilityName>字词错误</abilityName>
      <candidateList>
        <item>程中</item>
      </candidateList>
      <explain/>
      <paraID>5F7AB7B6</paraID>
      <start>97</start>
      <end>98</end>
      <status>unmodified</status>
      <modifiedWord/>
      <trackRevisions>false</trackRevisions>
    </reviewItem>
    <reviewItem>
      <errorID>13d9bf97-d25e-45e3-92f5-c617fe322436</errorID>
      <errorWord>-</errorWord>
      <group>L1_Format</group>
      <groupName>格式问题</groupName>
      <ability>L2_HalfPunc_CN</ability>
      <abilityName>全半角问题</abilityName>
      <candidateList>
        <item>－</item>
      </candidateList>
      <explain>文本全半角错误。</explain>
      <paraID>5F7AB7B6</paraID>
      <start>147</start>
      <end>148</end>
      <status>unmodified</status>
      <modifiedWord/>
      <trackRevisions>false</trackRevisions>
    </reviewItem>
    <reviewItem>
      <errorID>a3b1aaa9-1e5a-498d-9605-509e69a4fb58</errorID>
      <errorWord>-</errorWord>
      <group>L1_Format</group>
      <groupName>格式问题</groupName>
      <ability>L2_HalfPunc_CN</ability>
      <abilityName>全半角问题</abilityName>
      <candidateList>
        <item>－</item>
      </candidateList>
      <explain>文本全半角错误。</explain>
      <paraID>5F7AB7B6</paraID>
      <start>152</start>
      <end>153</end>
      <status>unmodified</status>
      <modifiedWord/>
      <trackRevisions>false</trackRevisions>
    </reviewItem>
    <reviewItem>
      <errorID>a90b5b9a-75b6-4800-8c74-ce6b98d71884</errorID>
      <errorWord>-</errorWord>
      <group>L1_Format</group>
      <groupName>格式问题</groupName>
      <ability>L2_HalfPunc_CN</ability>
      <abilityName>全半角问题</abilityName>
      <candidateList>
        <item>－</item>
      </candidateList>
      <explain>文本全半角错误。</explain>
      <paraID>5F7AB7B6</paraID>
      <start>156</start>
      <end>157</end>
      <status>unmodified</status>
      <modifiedWord/>
      <trackRevisions>false</trackRevisions>
    </reviewItem>
    <reviewItem>
      <errorID>a4d5d93c-bba2-464f-9bdd-80a1f35bf46c</errorID>
      <errorWord>-</errorWord>
      <group>L1_Format</group>
      <groupName>格式问题</groupName>
      <ability>L2_HalfPunc_CN</ability>
      <abilityName>全半角问题</abilityName>
      <candidateList>
        <item>－</item>
      </candidateList>
      <explain>文本全半角错误。</explain>
      <paraID>5F7AB7B6</paraID>
      <start>157</start>
      <end>158</end>
      <status>unmodified</status>
      <modifiedWord/>
      <trackRevisions>false</trackRevisions>
    </reviewItem>
    <reviewItem>
      <errorID>88f58808-129a-4e0a-9309-f628ec1269c6</errorID>
      <errorWord>-</errorWord>
      <group>L1_Format</group>
      <groupName>格式问题</groupName>
      <ability>L2_HalfPunc_CN</ability>
      <abilityName>全半角问题</abilityName>
      <candidateList>
        <item>－</item>
      </candidateList>
      <explain>文本全半角错误。</explain>
      <paraID>5F7AB7B6</paraID>
      <start>177</start>
      <end>178</end>
      <status>unmodified</status>
      <modifiedWord/>
      <trackRevisions>false</trackRevisions>
    </reviewItem>
    <reviewItem>
      <errorID>d6e0ff18-6291-4bed-b6fc-89a61a53b35b</errorID>
      <errorWord>-</errorWord>
      <group>L1_Format</group>
      <groupName>格式问题</groupName>
      <ability>L2_HalfPunc_CN</ability>
      <abilityName>全半角问题</abilityName>
      <candidateList>
        <item>－</item>
      </candidateList>
      <explain>文本全半角错误。</explain>
      <paraID>273E601B</paraID>
      <start>84</start>
      <end>85</end>
      <status>unmodified</status>
      <modifiedWord/>
      <trackRevisions>false</trackRevisions>
    </reviewItem>
    <reviewItem>
      <errorID>b50d1783-8d9f-4428-aeed-6aac9791858a</errorID>
      <errorWord>-</errorWord>
      <group>L1_Format</group>
      <groupName>格式问题</groupName>
      <ability>L2_HalfPunc_CN</ability>
      <abilityName>全半角问题</abilityName>
      <candidateList>
        <item>－</item>
      </candidateList>
      <explain>文本全半角错误。</explain>
      <paraID>273E601B</paraID>
      <start>91</start>
      <end>92</end>
      <status>unmodified</status>
      <modifiedWord/>
      <trackRevisions>false</trackRevisions>
    </reviewItem>
    <reviewItem>
      <errorID>690675e2-cb3b-43c7-a425-f50550409be6</errorID>
      <errorWord>-</errorWord>
      <group>L1_Format</group>
      <groupName>格式问题</groupName>
      <ability>L2_HalfPunc_CN</ability>
      <abilityName>全半角问题</abilityName>
      <candidateList>
        <item>－</item>
      </candidateList>
      <explain>文本全半角错误。</explain>
      <paraID>273E601B</paraID>
      <start>100</start>
      <end>101</end>
      <status>unmodified</status>
      <modifiedWord/>
      <trackRevisions>false</trackRevisions>
    </reviewItem>
    <reviewItem>
      <errorID>852cb1c7-30eb-427d-bb26-63893b6f4ae7</errorID>
      <errorWord>-</errorWord>
      <group>L1_Format</group>
      <groupName>格式问题</groupName>
      <ability>L2_HalfPunc_CN</ability>
      <abilityName>全半角问题</abilityName>
      <candidateList>
        <item>－</item>
      </candidateList>
      <explain>文本全半角错误。</explain>
      <paraID>273E601B</paraID>
      <start>117</start>
      <end>118</end>
      <status>unmodified</status>
      <modifiedWord/>
      <trackRevisions>false</trackRevisions>
    </reviewItem>
    <reviewItem>
      <errorID>bea29342-b37a-42d1-ac74-9f469649c1f4</errorID>
      <errorWord>-</errorWord>
      <group>L1_Format</group>
      <groupName>格式问题</groupName>
      <ability>L2_HalfPunc_CN</ability>
      <abilityName>全半角问题</abilityName>
      <candidateList>
        <item>－</item>
      </candidateList>
      <explain>文本全半角错误。</explain>
      <paraID>4473AA80</paraID>
      <start>90</start>
      <end>91</end>
      <status>unmodified</status>
      <modifiedWord/>
      <trackRevisions>false</trackRevisions>
    </reviewItem>
    <reviewItem>
      <errorID>6f5fc9ff-208e-4c79-9349-0ef5790fc9da</errorID>
      <errorWord>程</errorWord>
      <group>L1_Word</group>
      <groupName>字词问题</groupName>
      <ability>L2_Typo</ability>
      <abilityName>字词错误</abilityName>
      <candidateList>
        <item>程中</item>
      </candidateList>
      <explain/>
      <paraID>4053DF3E</paraID>
      <start>51</start>
      <end>52</end>
      <status>unmodified</status>
      <modifiedWord/>
      <trackRevisions>false</trackRevisions>
    </reviewItem>
    <reviewItem>
      <errorID>9a11b8ff-a517-4168-9d6e-a092bb8cd1b1</errorID>
      <errorWord>作</errorWord>
      <group>L1_Word</group>
      <groupName>字词问题</groupName>
      <ability>L2_Typo</ability>
      <abilityName>字词错误</abilityName>
      <candidateList>
        <item>做</item>
      </candidateList>
      <explain>存在发音相同字词的误用。</explain>
      <paraID>4053DF3E</paraID>
      <start>112</start>
      <end>113</end>
      <status>unmodified</status>
      <modifiedWord/>
      <trackRevisions>false</trackRevisions>
    </reviewItem>
    <reviewItem>
      <errorID>92ff2024-fa00-4c82-977f-74fb892c2b68</errorID>
      <errorWord>作</errorWord>
      <group>L1_Word</group>
      <groupName>字词问题</groupName>
      <ability>L2_Typo</ability>
      <abilityName>字词错误</abilityName>
      <candidateList>
        <item>做</item>
      </candidateList>
      <explain>存在发音相同字词的误用。</explain>
      <paraID>4053DF3E</paraID>
      <start>173</start>
      <end>174</end>
      <status>unmodified</status>
      <modifiedWord/>
      <trackRevisions>false</trackRevisions>
    </reviewItem>
    <reviewItem>
      <errorID>4e77d3a1-6906-4a57-abfb-66ebb66232d0</errorID>
      <errorWord>(</errorWord>
      <group>L1_Format</group>
      <groupName>格式问题</groupName>
      <ability>L2_HalfPunc_CN</ability>
      <abilityName>全半角问题</abilityName>
      <candidateList>
        <item>（</item>
      </candidateList>
      <explain>文本全半角错误。</explain>
      <paraID>4053DF3E</paraID>
      <start>276</start>
      <end>277</end>
      <status>unmodified</status>
      <modifiedWord/>
      <trackRevisions>false</trackRevisions>
    </reviewItem>
    <reviewItem>
      <errorID>a778728e-6463-41c4-9127-acba17966425</errorID>
      <errorWord>)</errorWord>
      <group>L1_Format</group>
      <groupName>格式问题</groupName>
      <ability>L2_HalfPunc_CN</ability>
      <abilityName>全半角问题</abilityName>
      <candidateList>
        <item>）</item>
      </candidateList>
      <explain>文本全半角错误。</explain>
      <paraID>4053DF3E</paraID>
      <start>287</start>
      <end>288</end>
      <status>unmodified</status>
      <modifiedWord/>
      <trackRevisions>false</trackRevisions>
    </reviewItem>
    <reviewItem>
      <errorID>985f3327-3567-48dd-bd1f-057796f097c2</errorID>
      <errorWord>(</errorWord>
      <group>L1_Format</group>
      <groupName>格式问题</groupName>
      <ability>L2_HalfPunc_CN</ability>
      <abilityName>全半角问题</abilityName>
      <candidateList>
        <item>（</item>
      </candidateList>
      <explain>文本全半角错误。</explain>
      <paraID>17DC2A87</paraID>
      <start>4</start>
      <end>5</end>
      <status>unmodified</status>
      <modifiedWord/>
      <trackRevisions>false</trackRevisions>
    </reviewItem>
    <reviewItem>
      <errorID>593912a1-d910-4999-a0cf-a7998e1f3ae4</errorID>
      <errorWord>)</errorWord>
      <group>L1_Format</group>
      <groupName>格式问题</groupName>
      <ability>L2_HalfPunc_CN</ability>
      <abilityName>全半角问题</abilityName>
      <candidateList>
        <item>）</item>
      </candidateList>
      <explain>文本全半角错误。</explain>
      <paraID>17DC2A87</paraID>
      <start>8</start>
      <end>9</end>
      <status>unmodified</status>
      <modifiedWord/>
      <trackRevisions>false</trackRevisions>
    </reviewItem>
    <reviewItem>
      <errorID>6483cc7c-7e81-4592-84bb-f62807ffe9d6</errorID>
      <errorWord>(</errorWord>
      <group>L1_Format</group>
      <groupName>格式问题</groupName>
      <ability>L2_HalfPunc_CN</ability>
      <abilityName>全半角问题</abilityName>
      <candidateList>
        <item>（</item>
      </candidateList>
      <explain>文本全半角错误。</explain>
      <paraID>4AC4F8B9</paraID>
      <start>11</start>
      <end>12</end>
      <status>unmodified</status>
      <modifiedWord/>
      <trackRevisions>false</trackRevisions>
    </reviewItem>
    <reviewItem>
      <errorID>84a48de0-53c1-48de-9eac-929372df4715</errorID>
      <errorWord>)</errorWord>
      <group>L1_Format</group>
      <groupName>格式问题</groupName>
      <ability>L2_HalfPunc_CN</ability>
      <abilityName>全半角问题</abilityName>
      <candidateList>
        <item>）</item>
      </candidateList>
      <explain>文本全半角错误。</explain>
      <paraID>4AC4F8B9</paraID>
      <start>22</start>
      <end>23</end>
      <status>unmodified</status>
      <modifiedWord/>
      <trackRevisions>false</trackRevisions>
    </reviewItem>
    <reviewItem>
      <errorID>f348992b-24cf-4a0d-b6eb-cd00efff1be5</errorID>
      <errorWord>(</errorWord>
      <group>L1_Format</group>
      <groupName>格式问题</groupName>
      <ability>L2_HalfPunc_CN</ability>
      <abilityName>全半角问题</abilityName>
      <candidateList>
        <item>（</item>
      </candidateList>
      <explain>文本全半角错误。</explain>
      <paraID>536B6F22</paraID>
      <start>11</start>
      <end>12</end>
      <status>unmodified</status>
      <modifiedWord/>
      <trackRevisions>false</trackRevisions>
    </reviewItem>
    <reviewItem>
      <errorID>dd907a06-c4ce-4dde-a75a-df0ded2e90eb</errorID>
      <errorWord>)</errorWord>
      <group>L1_Format</group>
      <groupName>格式问题</groupName>
      <ability>L2_HalfPunc_CN</ability>
      <abilityName>全半角问题</abilityName>
      <candidateList>
        <item>）</item>
      </candidateList>
      <explain>文本全半角错误。</explain>
      <paraID>536B6F22</paraID>
      <start>22</start>
      <end>23</end>
      <status>unmodified</status>
      <modifiedWord/>
      <trackRevisions>false</trackRevisions>
    </reviewItem>
    <reviewItem>
      <errorID>527b2e8c-6345-4e65-80f4-a6d388b95cfd</errorID>
      <errorWord>(</errorWord>
      <group>L1_Format</group>
      <groupName>格式问题</groupName>
      <ability>L2_HalfPunc_CN</ability>
      <abilityName>全半角问题</abilityName>
      <candidateList>
        <item>（</item>
      </candidateList>
      <explain>文本全半角错误。</explain>
      <paraID>5CDBC13E</paraID>
      <start>7</start>
      <end>8</end>
      <status>unmodified</status>
      <modifiedWord/>
      <trackRevisions>false</trackRevisions>
    </reviewItem>
    <reviewItem>
      <errorID>87b521f9-64f6-4bc4-901a-9df49740f1d7</errorID>
      <errorWord>)</errorWord>
      <group>L1_Format</group>
      <groupName>格式问题</groupName>
      <ability>L2_HalfPunc_CN</ability>
      <abilityName>全半角问题</abilityName>
      <candidateList>
        <item>）</item>
      </candidateList>
      <explain>文本全半角错误。</explain>
      <paraID>5CDBC13E</paraID>
      <start>12</start>
      <end>13</end>
      <status>unmodified</status>
      <modifiedWord/>
      <trackRevisions>false</trackRevisions>
    </reviewItem>
    <reviewItem>
      <errorID>27dc4ae7-2e1d-440c-aa98-10a320813d96</errorID>
      <errorWord>后于</errorWord>
      <group>L1_Word</group>
      <groupName>字词问题</groupName>
      <ability>L2_Typo</ability>
      <abilityName>字词错误</abilityName>
      <candidateList>
        <item>后</item>
      </candidateList>
      <explain>❶君主的妻子：皇～｜～妃。❷古代称君主：商之先～。❸（Hòu）〈名〉姓。</explain>
      <paraID>21596FA8</paraID>
      <start>123</start>
      <end>125</end>
      <status>unmodified</status>
      <modifiedWord/>
      <trackRevisions>false</trackRevisions>
    </reviewItem>
    <reviewItem>
      <errorID>2a562828-596f-4efc-a3a7-fb83c19d0be7</errorID>
      <errorWord>)</errorWord>
      <group>L1_Format</group>
      <groupName>格式问题</groupName>
      <ability>L2_HalfPunc_CN</ability>
      <abilityName>全半角问题</abilityName>
      <candidateList>
        <item>）</item>
      </candidateList>
      <explain>文本全半角错误。</explain>
      <paraID>17DE0145</paraID>
      <start>71</start>
      <end>72</end>
      <status>unmodified</status>
      <modifiedWord/>
      <trackRevisions>false</trackRevisions>
    </reviewItem>
    <reviewItem>
      <errorID>4aaf9047-9733-423f-b331-ee645fa63a12</errorID>
      <errorWord>(</errorWord>
      <group>L1_Format</group>
      <groupName>格式问题</groupName>
      <ability>L2_HalfPunc_CN</ability>
      <abilityName>全半角问题</abilityName>
      <candidateList>
        <item>（</item>
      </candidateList>
      <explain>文本全半角错误。</explain>
      <paraID>7208CB6F</paraID>
      <start>15</start>
      <end>16</end>
      <status>unmodified</status>
      <modifiedWord/>
      <trackRevisions>false</trackRevisions>
    </reviewItem>
    <reviewItem>
      <errorID>2ddcf294-79c0-43a0-92d9-7369ebc88ae6</errorID>
      <errorWord>计</errorWord>
      <group>L1_Word</group>
      <groupName>字词问题</groupName>
      <ability>L2_Typo</ability>
      <abilityName>字词错误</abilityName>
      <candidateList>
        <item>计算</item>
      </candidateList>
      <explain/>
      <paraID>2137E7F5</paraID>
      <start>31</start>
      <end>32</end>
      <status>unmodified</status>
      <modifiedWord/>
      <trackRevisions>false</trackRevisions>
    </reviewItem>
    <reviewItem>
      <errorID>2efc957f-db99-4ece-b16d-321b2b97d772</errorID>
      <errorWord>(</errorWord>
      <group>L1_Format</group>
      <groupName>格式问题</groupName>
      <ability>L2_HalfPunc_CN</ability>
      <abilityName>全半角问题</abilityName>
      <candidateList>
        <item>（</item>
      </candidateList>
      <explain>文本全半角错误。</explain>
      <paraID>2137E7F5</paraID>
      <start>140</start>
      <end>141</end>
      <status>unmodified</status>
      <modifiedWord/>
      <trackRevisions>false</trackRevisions>
    </reviewItem>
    <reviewItem>
      <errorID>5bbc68b4-9b8c-497c-87f5-e17c66d19e1c</errorID>
      <errorWord>震动盘</errorWord>
      <group>L1_Word</group>
      <groupName>字词问题</groupName>
      <ability>L2_Typo</ability>
      <abilityName>字词错误</abilityName>
      <candidateList>
        <item>振动盘</item>
      </candidateList>
      <explain>存在发音相同字词的误用。</explain>
      <paraID>6C9807AB</paraID>
      <start>11</start>
      <end>14</end>
      <status>unmodified</status>
      <modifiedWord/>
      <trackRevisions>false</trackRevisions>
    </reviewItem>
    <reviewItem>
      <errorID>81c2f468-4684-4cc6-93c3-2458ed3d2243</errorID>
      <errorWord>，</errorWord>
      <group>L1_Format</group>
      <groupName>格式问题</groupName>
      <ability>L2_HalfPunc_CN</ability>
      <abilityName>全半角问题</abilityName>
      <candidateList>
        <item>,</item>
      </candidateList>
      <explain>文本全半角错误。</explain>
      <paraID>4EA34716</paraID>
      <start>10</start>
      <end>11</end>
      <status>unmodified</status>
      <modifiedWord/>
      <trackRevisions>false</trackRevisions>
    </reviewItem>
    <reviewItem>
      <errorID>743cfeef-bd74-4ac5-aeca-dde6cbd43cdc</errorID>
      <errorWord>PH值</errorWord>
      <group>L1_Word</group>
      <groupName>字词问题</groupName>
      <ability>L2_Typo</ability>
      <abilityName>字词错误</abilityName>
      <candidateList>
        <item>pH值</item>
      </candidateList>
      <explain/>
      <paraID>4710B8E5</paraID>
      <start>0</start>
      <end>3</end>
      <status>unmodified</status>
      <modifiedWord/>
      <trackRevisions>false</trackRevisions>
    </reviewItem>
    <reviewItem>
      <errorID>040ba5f1-b1f5-4c72-954d-7c58ce4115ec</errorID>
      <errorWord>(</errorWord>
      <group>L1_Format</group>
      <groupName>格式问题</groupName>
      <ability>L2_HalfPunc_CN</ability>
      <abilityName>全半角问题</abilityName>
      <candidateList>
        <item>（</item>
      </candidateList>
      <explain>文本全半角错误。</explain>
      <paraID>79EEFB5B</paraID>
      <start>36</start>
      <end>37</end>
      <status>unmodified</status>
      <modifiedWord/>
      <trackRevisions>false</trackRevisions>
    </reviewItem>
    <reviewItem>
      <errorID>437e753e-5e35-4eb6-842b-4edc7a9f0b68</errorID>
      <errorWord>【2023】141号</errorWord>
      <group>L1_Knowledge</group>
      <groupName>知识性问题</groupName>
      <ability>L2_Knowledge</ability>
      <abilityName>其他知识</abilityName>
      <candidateList>
        <item>〔2023〕141号</item>
      </candidateList>
      <explain>发文字号格式错误。</explain>
      <paraID>56FB9820</paraID>
      <start>32</start>
      <end>42</end>
      <status>unmodified</status>
      <modifiedWord/>
      <trackRevisions>false</trackRevisions>
    </reviewItem>
    <reviewItem>
      <errorID>80bf0fd1-154b-4ddf-a678-1e433606ecdf</errorID>
      <errorWord>水</errorWord>
      <group>L1_Word</group>
      <groupName>字词问题</groupName>
      <ability>L2_Typo</ability>
      <abilityName>字词错误</abilityName>
      <candidateList>
        <item>水管</item>
      </candidateList>
      <explain/>
      <paraID>2869AB0F</paraID>
      <start>95</start>
      <end>96</end>
      <status>unmodified</status>
      <modifiedWord/>
      <trackRevisions>false</trackRevisions>
    </reviewItem>
    <reviewItem>
      <errorID>2aeaf729-8321-4935-9b12-72777d8c344e</errorID>
      <errorWord>晰</errorWord>
      <group>L1_Word</group>
      <groupName>字词问题</groupName>
      <ability>L2_Typo</ability>
      <abilityName>字词错误</abilityName>
      <candidateList>
        <item>晰地</item>
      </candidateList>
      <explain/>
      <paraID>6E922BC9</paraID>
      <start>114</start>
      <end>115</end>
      <status>unmodified</status>
      <modifiedWord/>
      <trackRevisions>false</trackRevisions>
    </reviewItem>
    <reviewItem>
      <errorID>6af52930-5df3-4145-9910-eb766186415d</errorID>
      <errorWord>)</errorWord>
      <group>L1_Format</group>
      <groupName>格式问题</groupName>
      <ability>L2_HalfPunc_CN</ability>
      <abilityName>全半角问题</abilityName>
      <candidateList>
        <item>）</item>
      </candidateList>
      <explain>文本全半角错误。</explain>
      <paraID>533D1351</paraID>
      <start>33</start>
      <end>34</end>
      <status>unmodified</status>
      <modifiedWord/>
      <trackRevisions>false</trackRevisions>
    </reviewItem>
    <reviewItem>
      <errorID>c03f9aba-1c17-4513-9df3-17f4c6f3740b</errorID>
      <errorWord>)</errorWord>
      <group>L1_Format</group>
      <groupName>格式问题</groupName>
      <ability>L2_HalfPunc_CN</ability>
      <abilityName>全半角问题</abilityName>
      <candidateList>
        <item>）</item>
      </candidateList>
      <explain>文本全半角错误。</explain>
      <paraID>6406F19B</paraID>
      <start>24</start>
      <end>25</end>
      <status>unmodified</status>
      <modifiedWord/>
      <trackRevisions>false</trackRevisions>
    </reviewItem>
    <reviewItem>
      <errorID>a457957e-099e-4276-8718-d5e7761152ca</errorID>
      <errorWord>震动盘</errorWord>
      <group>L1_Word</group>
      <groupName>字词问题</groupName>
      <ability>L2_Typo</ability>
      <abilityName>字词错误</abilityName>
      <candidateList>
        <item>振动盘</item>
      </candidateList>
      <explain>存在发音相同字词的误用。</explain>
      <paraID>48BFF7D8</paraID>
      <start>0</start>
      <end>3</end>
      <status>unmodified</status>
      <modifiedWord/>
      <trackRevisions>false</trackRevisions>
    </reviewItem>
    <reviewItem>
      <errorID>2446bb1a-2e2d-48f3-b1b8-54f3cc79321e</errorID>
      <errorWord>)</errorWord>
      <group>L1_Format</group>
      <groupName>格式问题</groupName>
      <ability>L2_HalfPunc_CN</ability>
      <abilityName>全半角问题</abilityName>
      <candidateList>
        <item>）</item>
      </candidateList>
      <explain>文本全半角错误。</explain>
      <paraID>6C36B5C5</paraID>
      <start>195</start>
      <end>196</end>
      <status>unmodified</status>
      <modifiedWord/>
      <trackRevisions>false</trackRevisions>
    </reviewItem>
    <reviewItem>
      <errorID>fbed8f10-a177-458d-b849-75d0e94b34ea</errorID>
      <errorWord>)</errorWord>
      <group>L1_Format</group>
      <groupName>格式问题</groupName>
      <ability>L2_HalfPunc_CN</ability>
      <abilityName>全半角问题</abilityName>
      <candidateList>
        <item>）</item>
      </candidateList>
      <explain>文本全半角错误。</explain>
      <paraID>6C36B5C5</paraID>
      <start>222</start>
      <end>223</end>
      <status>unmodified</status>
      <modifiedWord/>
      <trackRevisions>false</trackRevisions>
    </reviewItem>
    <reviewItem>
      <errorID>d83cf21e-4ad1-4c5a-89a7-13fb9da8918a</errorID>
      <errorWord>(</errorWord>
      <group>L1_Format</group>
      <groupName>格式问题</groupName>
      <ability>L2_HalfPunc_CN</ability>
      <abilityName>全半角问题</abilityName>
      <candidateList>
        <item>（</item>
      </candidateList>
      <explain>文本全半角错误。</explain>
      <paraID>6C36B5C5</paraID>
      <start>308</start>
      <end>309</end>
      <status>unmodified</status>
      <modifiedWord/>
      <trackRevisions>false</trackRevisions>
    </reviewItem>
    <reviewItem>
      <errorID>2e81d417-1a95-485f-9400-daa6949c7c1d</errorID>
      <errorWord>)</errorWord>
      <group>L1_Format</group>
      <groupName>格式问题</groupName>
      <ability>L2_HalfPunc_CN</ability>
      <abilityName>全半角问题</abilityName>
      <candidateList>
        <item>）</item>
      </candidateList>
      <explain>文本全半角错误。</explain>
      <paraID>6C36B5C5</paraID>
      <start>324</start>
      <end>325</end>
      <status>unmodified</status>
      <modifiedWord/>
      <trackRevisions>false</trackRevisions>
    </reviewItem>
    <reviewItem>
      <errorID>c70703cf-906f-42e1-80a8-93995db43427</errorID>
      <errorWord>)</errorWord>
      <group>L1_Format</group>
      <groupName>格式问题</groupName>
      <ability>L2_HalfPunc_CN</ability>
      <abilityName>全半角问题</abilityName>
      <candidateList>
        <item>）</item>
      </candidateList>
      <explain>文本全半角错误。</explain>
      <paraID>6C36B5C5</paraID>
      <start>368</start>
      <end>369</end>
      <status>unmodified</status>
      <modifiedWord/>
      <trackRevisions>false</trackRevisions>
    </reviewItem>
    <reviewItem>
      <errorID>f6eabbd2-94cd-47d4-a17a-275deaabd582</errorID>
      <errorWord>)</errorWord>
      <group>L1_Format</group>
      <groupName>格式问题</groupName>
      <ability>L2_HalfPunc_CN</ability>
      <abilityName>全半角问题</abilityName>
      <candidateList>
        <item>）</item>
      </candidateList>
      <explain>文本全半角错误。</explain>
      <paraID>6C36B5C5</paraID>
      <start>395</start>
      <end>396</end>
      <status>unmodified</status>
      <modifiedWord/>
      <trackRevisions>false</trackRevisions>
    </reviewItem>
    <reviewItem>
      <errorID>32404c3b-7ed7-46c5-841d-35695d048d4c</errorID>
      <errorWord>（</errorWord>
      <group>L1_Punc</group>
      <groupName>标点问题</groupName>
      <ability>L2_Punc_CN</ability>
      <abilityName>标点符号问题</abilityName>
      <candidateList/>
      <explain>同一形式括号套用。</explain>
      <paraID>6C36B5C5</paraID>
      <start>480</start>
      <end>481</end>
      <status>unmodified</status>
      <modifiedWord/>
      <trackRevisions>false</trackRevisions>
    </reviewItem>
    <reviewItem>
      <errorID>7c07331f-d501-45fa-b31c-dc1144dfae5a</errorID>
      <errorWord>(</errorWord>
      <group>L1_Punc</group>
      <groupName>标点问题</groupName>
      <ability>L2_Punc_CN</ability>
      <abilityName>标点符号问题</abilityName>
      <candidateList/>
      <explain>同一形式括号套用。</explain>
      <paraID>6C36B5C5</paraID>
      <start>491</start>
      <end>492</end>
      <status>unmodified</status>
      <modifiedWord/>
      <trackRevisions>false</trackRevisions>
    </reviewItem>
    <reviewItem>
      <errorID>c749b2ba-ebba-41a3-8ebb-301dfa5e5f43</errorID>
      <errorWord>)</errorWord>
      <group>L1_Punc</group>
      <groupName>标点问题</groupName>
      <ability>L2_Punc_CN</ability>
      <abilityName>标点符号问题</abilityName>
      <candidateList/>
      <explain>同一形式括号套用。</explain>
      <paraID>6C36B5C5</paraID>
      <start>493</start>
      <end>494</end>
      <status>unmodified</status>
      <modifiedWord/>
      <trackRevisions>false</trackRevisions>
    </reviewItem>
    <reviewItem>
      <errorID>73e670f6-b073-46a9-a1de-583ead54338e</errorID>
      <errorWord>）</errorWord>
      <group>L1_Punc</group>
      <groupName>标点问题</groupName>
      <ability>L2_Punc_CN</ability>
      <abilityName>标点符号问题</abilityName>
      <candidateList/>
      <explain>同一形式括号套用。</explain>
      <paraID>6C36B5C5</paraID>
      <start>500</start>
      <end>501</end>
      <status>unmodified</status>
      <modifiedWord/>
      <trackRevisions>false</trackRevisions>
    </reviewItem>
    <reviewItem>
      <errorID>5403546b-66c3-4a21-aabd-545eb96f1dd2</errorID>
      <errorWord>有效地</errorWord>
      <group>L1_Word</group>
      <groupName>字词问题</groupName>
      <ability>L2_Typo</ability>
      <abilityName>字词错误</abilityName>
      <candidateList>
        <item>有效</item>
      </candidateList>
      <explain/>
      <paraID> 1316E18</paraID>
      <start>51</start>
      <end>54</end>
      <status>unmodified</status>
      <modifiedWord/>
      <trackRevisions>false</trackRevisions>
    </reviewItem>
    <reviewItem>
      <errorID>a251bc36-9091-43ac-b2ed-bdfe1a8360b3</errorID>
      <errorWord>)</errorWord>
      <group>L1_Format</group>
      <groupName>格式问题</groupName>
      <ability>L2_HalfPunc_CN</ability>
      <abilityName>全半角问题</abilityName>
      <candidateList>
        <item>）</item>
      </candidateList>
      <explain>文本全半角错误。</explain>
      <paraID> B98931A</paraID>
      <start>11</start>
      <end>12</end>
      <status>unmodified</status>
      <modifiedWord/>
      <trackRevisions>false</trackRevisions>
    </reviewItem>
    <reviewItem>
      <errorID>ad8346e1-510a-4c48-8e3b-7d63e2dfffed</errorID>
      <errorWord>~</errorWord>
      <group>L1_Format</group>
      <groupName>格式问题</groupName>
      <ability>L2_HalfPunc_CN</ability>
      <abilityName>全半角问题</abilityName>
      <candidateList>
        <item>～</item>
      </candidateList>
      <explain>文本全半角错误。</explain>
      <paraID>7D007F04</paraID>
      <start>54</start>
      <end>55</end>
      <status>unmodified</status>
      <modifiedWord/>
      <trackRevisions>false</trackRevisions>
    </reviewItem>
    <reviewItem>
      <errorID>a3ff5ee2-7006-45fc-91f5-5c8ce549fd94</errorID>
      <errorWord>~</errorWord>
      <group>L1_Format</group>
      <groupName>格式问题</groupName>
      <ability>L2_HalfPunc_CN</ability>
      <abilityName>全半角问题</abilityName>
      <candidateList>
        <item>～</item>
      </candidateList>
      <explain>文本全半角错误。</explain>
      <paraID>7D007F04</paraID>
      <start>73</start>
      <end>74</end>
      <status>unmodified</status>
      <modifiedWord/>
      <trackRevisions>false</trackRevisions>
    </reviewItem>
    <reviewItem>
      <errorID>e25584ed-b92e-45a0-8180-2ea45d946bdc</errorID>
      <errorWord>（</errorWord>
      <group>L1_Punc</group>
      <groupName>标点问题</groupName>
      <ability>L2_Punc_CN</ability>
      <abilityName>标点符号问题</abilityName>
      <candidateList/>
      <explain>同一形式括号套用。</explain>
      <paraID> 7BD8586</paraID>
      <start>61</start>
      <end>62</end>
      <status>unmodified</status>
      <modifiedWord/>
      <trackRevisions>false</trackRevisions>
    </reviewItem>
    <reviewItem>
      <errorID>745d2334-0afa-412a-99c6-25f9b5669641</errorID>
      <errorWord>）</errorWord>
      <group>L1_Punc</group>
      <groupName>标点问题</groupName>
      <ability>L2_Punc_CN</ability>
      <abilityName>标点符号问题</abilityName>
      <candidateList/>
      <explain>同一形式括号套用。</explain>
      <paraID> 7BD8586</paraID>
      <start>67</start>
      <end>68</end>
      <status>unmodified</status>
      <modifiedWord/>
      <trackRevisions>false</trackRevisions>
    </reviewItem>
    <reviewItem>
      <errorID>f375609b-22e7-45f4-9c51-726608613ca0</errorID>
      <errorWord>(</errorWord>
      <group>L1_Format</group>
      <groupName>格式问题</groupName>
      <ability>L2_HalfPunc_CN</ability>
      <abilityName>全半角问题</abilityName>
      <candidateList>
        <item>（</item>
      </candidateList>
      <explain>文本全半角错误。</explain>
      <paraID>3C17FB7E</paraID>
      <start>3</start>
      <end>4</end>
      <status>unmodified</status>
      <modifiedWord/>
      <trackRevisions>false</trackRevisions>
    </reviewItem>
    <reviewItem>
      <errorID>788fc1fb-77cd-4e15-9e65-d1d99fd05ef5</errorID>
      <errorWord>)</errorWord>
      <group>L1_Format</group>
      <groupName>格式问题</groupName>
      <ability>L2_HalfPunc_CN</ability>
      <abilityName>全半角问题</abilityName>
      <candidateList>
        <item>）</item>
      </candidateList>
      <explain>文本全半角错误。</explain>
      <paraID>3C17FB7E</paraID>
      <start>5</start>
      <end>6</end>
      <status>unmodified</status>
      <modifiedWord/>
      <trackRevisions>false</trackRevisions>
    </reviewItem>
    <reviewItem>
      <errorID>6a75d82b-f6ee-421c-90e3-5eac5d235fc5</errorID>
      <errorWord>(</errorWord>
      <group>L1_Format</group>
      <groupName>格式问题</groupName>
      <ability>L2_HalfPunc_CN</ability>
      <abilityName>全半角问题</abilityName>
      <candidateList>
        <item>（</item>
      </candidateList>
      <explain>文本全半角错误。</explain>
      <paraID> 2F7C7DF</paraID>
      <start>5</start>
      <end>6</end>
      <status>unmodified</status>
      <modifiedWord/>
      <trackRevisions>false</trackRevisions>
    </reviewItem>
    <reviewItem>
      <errorID>8ceaf5e1-d55b-469e-a8b7-08b3cf5454f4</errorID>
      <errorWord>)</errorWord>
      <group>L1_Format</group>
      <groupName>格式问题</groupName>
      <ability>L2_HalfPunc_CN</ability>
      <abilityName>全半角问题</abilityName>
      <candidateList>
        <item>）</item>
      </candidateList>
      <explain>文本全半角错误。</explain>
      <paraID> 2F7C7DF</paraID>
      <start>7</start>
      <end>8</end>
      <status>unmodified</status>
      <modifiedWord/>
      <trackRevisions>false</trackRevisions>
    </reviewItem>
    <reviewItem>
      <errorID>c54c2d95-576f-435b-b80e-e720da9db9e5</errorID>
      <errorWord>震动盘</errorWord>
      <group>L1_Word</group>
      <groupName>字词问题</groupName>
      <ability>L2_Typo</ability>
      <abilityName>字词错误</abilityName>
      <candidateList>
        <item>振动盘</item>
      </candidateList>
      <explain>存在发音相同字词的误用。</explain>
      <paraID>757280A8</paraID>
      <start>51</start>
      <end>54</end>
      <status>unmodified</status>
      <modifiedWord/>
      <trackRevisions>false</trackRevisions>
    </reviewItem>
    <reviewItem>
      <errorID>62cff0df-c556-49d3-b9cd-979b62cfd262</errorID>
      <errorWord>:</errorWord>
      <group>L1_Format</group>
      <groupName>格式问题</groupName>
      <ability>L2_HalfPunc_CN</ability>
      <abilityName>全半角问题</abilityName>
      <candidateList>
        <item>：</item>
      </candidateList>
      <explain>文本全半角错误。</explain>
      <paraID>3DE80A43</paraID>
      <start>9</start>
      <end>10</end>
      <status>unmodified</status>
      <modifiedWord/>
      <trackRevisions>false</trackRevisions>
    </reviewItem>
    <reviewItem>
      <errorID>9f7a9059-1444-4692-8ee1-0399f5accc1a</errorID>
      <errorWord>,</errorWord>
      <group>L1_Format</group>
      <groupName>格式问题</groupName>
      <ability>L2_HalfPunc_CN</ability>
      <abilityName>全半角问题</abilityName>
      <candidateList>
        <item>，</item>
      </candidateList>
      <explain>文本全半角错误。</explain>
      <paraID>3DE80A43</paraID>
      <start>79</start>
      <end>80</end>
      <status>unmodified</status>
      <modifiedWord/>
      <trackRevisions>false</trackRevisions>
    </reviewItem>
    <reviewItem>
      <errorID>711b52d4-3fab-4a10-bed5-3774fefca6f5</errorID>
      <errorWord>交由有</errorWord>
      <group>L1_Word</group>
      <groupName>字词问题</groupName>
      <ability>L2_Typo</ability>
      <abilityName>字词错误</abilityName>
      <candidateList>
        <item>交由</item>
      </candidateList>
      <explain/>
      <paraID>29C4656D</paraID>
      <start>103</start>
      <end>106</end>
      <status>unmodified</status>
      <modifiedWord/>
      <trackRevisions>false</trackRevisions>
    </reviewItem>
    <reviewItem>
      <errorID>5797b4de-7dcd-4aa1-ba53-a064560795b5</errorID>
      <errorWord>，</errorWord>
      <group>L1_Format</group>
      <groupName>格式问题</groupName>
      <ability>L2_HalfPunc_CN</ability>
      <abilityName>全半角问题</abilityName>
      <candidateList>
        <item>, </item>
      </candidateList>
      <explain>文本全半角错误。</explain>
      <paraID>187C618B</paraID>
      <start>1</start>
      <end>2</end>
      <status>unmodified</status>
      <modifiedWord/>
      <trackRevisions>false</trackRevisions>
    </reviewItem>
    <reviewItem>
      <errorID>c8d7b430-9191-4728-8bb8-e9995696d22b</errorID>
      <errorWord>，</errorWord>
      <group>L1_Format</group>
      <groupName>格式问题</groupName>
      <ability>L2_HalfPunc_CN</ability>
      <abilityName>全半角问题</abilityName>
      <candidateList>
        <item>, </item>
      </candidateList>
      <explain>文本全半角错误。</explain>
      <paraID>497D80EB</paraID>
      <start>1</start>
      <end>2</end>
      <status>unmodified</status>
      <modifiedWord/>
      <trackRevisions>false</trackRevisions>
    </reviewItem>
    <reviewItem>
      <errorID>7dc0e032-7a2f-4769-803f-20a25fbaa2e4</errorID>
      <errorWord>，</errorWord>
      <group>L1_Format</group>
      <groupName>格式问题</groupName>
      <ability>L2_HalfPunc_CN</ability>
      <abilityName>全半角问题</abilityName>
      <candidateList>
        <item>, </item>
      </candidateList>
      <explain>文本全半角错误。</explain>
      <paraID>2780A183</paraID>
      <start>1</start>
      <end>2</end>
      <status>unmodified</status>
      <modifiedWord/>
      <trackRevisions>false</trackRevisions>
    </reviewItem>
    <reviewItem>
      <errorID>907afa97-0cb3-4dca-ad90-9f0afb6abb97</errorID>
      <errorWord>(</errorWord>
      <group>L1_Format</group>
      <groupName>格式问题</groupName>
      <ability>L2_HalfPunc_CN</ability>
      <abilityName>全半角问题</abilityName>
      <candidateList>
        <item>（</item>
      </candidateList>
      <explain>文本全半角错误。</explain>
      <paraID>4004894F</paraID>
      <start>5</start>
      <end>6</end>
      <status>unmodified</status>
      <modifiedWord/>
      <trackRevisions>false</trackRevisions>
    </reviewItem>
    <reviewItem>
      <errorID>8cbc2e82-1db5-4235-8ae0-dbbcba62cc86</errorID>
      <errorWord>，</errorWord>
      <group>L1_Word</group>
      <groupName>字词问题</groupName>
      <ability>L2_Typo</ability>
      <abilityName>字词错误</abilityName>
      <candidateList>
        <item>，对</item>
      </candidateList>
      <explain/>
      <paraID>621C73A5</paraID>
      <start>36</start>
      <end>37</end>
      <status>unmodified</status>
      <modifiedWord/>
      <trackRevisions>false</trackRevisions>
    </reviewItem>
    <reviewItem>
      <errorID>7a9d0a12-99b2-415b-8530-4082d80f30bf</errorID>
      <errorWord>程</errorWord>
      <group>L1_Word</group>
      <groupName>字词问题</groupName>
      <ability>L2_Typo</ability>
      <abilityName>字词错误</abilityName>
      <candidateList>
        <item>程中</item>
      </candidateList>
      <explain/>
      <paraID>56E2C6ED</paraID>
      <start>4</start>
      <end>5</end>
      <status>unmodified</status>
      <modifiedWord/>
      <trackRevisions>false</trackRevisions>
    </reviewItem>
    <reviewItem>
      <errorID>a2eabfae-d828-40cb-930a-6e4a74bc2efc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1760380D</paraID>
      <start>65</start>
      <end>66</end>
      <status>unmodified</status>
      <modifiedWord/>
      <trackRevisions>false</trackRevisions>
    </reviewItem>
    <reviewItem>
      <errorID>5ec2534f-a4fc-4466-bac3-c50fdc371450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768211C8</paraID>
      <start>29</start>
      <end>30</end>
      <status>unmodified</status>
      <modifiedWord/>
      <trackRevisions>false</trackRevisions>
    </reviewItem>
    <reviewItem>
      <errorID>e4761bf8-409f-42c6-a1ca-614d2743436f</errorID>
      <errorWord>(</errorWord>
      <group>L1_Format</group>
      <groupName>格式问题</groupName>
      <ability>L2_HalfPunc_CN</ability>
      <abilityName>全半角问题</abilityName>
      <candidateList>
        <item>（</item>
      </candidateList>
      <explain>文本全半角错误。</explain>
      <paraID>37FCD55E</paraID>
      <start>9</start>
      <end>10</end>
      <status>unmodified</status>
      <modifiedWord/>
      <trackRevisions>false</trackRevisions>
    </reviewItem>
    <reviewItem>
      <errorID>51b9db5a-35bb-4907-8a8a-eaf419c41ee9</errorID>
      <errorWord>)</errorWord>
      <group>L1_Format</group>
      <groupName>格式问题</groupName>
      <ability>L2_HalfPunc_CN</ability>
      <abilityName>全半角问题</abilityName>
      <candidateList>
        <item>）</item>
      </candidateList>
      <explain>文本全半角错误。</explain>
      <paraID>37FCD55E</paraID>
      <start>14</start>
      <end>15</end>
      <status>unmodified</status>
      <modifiedWord/>
      <trackRevisions>false</trackRevisions>
    </reviewItem>
    <reviewItem>
      <errorID>14f3d1b2-6e61-46f8-8389-70b97f1e434b</errorID>
      <errorWord>；</errorWord>
      <group>L1_Word</group>
      <groupName>字词问题</groupName>
      <ability>L2_Typo</ability>
      <abilityName>字词错误</abilityName>
      <candidateList>
        <item>；在</item>
      </candidateList>
      <explain/>
      <paraID>46857CC7</paraID>
      <start>42</start>
      <end>43</end>
      <status>unmodified</status>
      <modifiedWord/>
      <trackRevisions>false</trackRevisions>
    </reviewItem>
    <reviewItem>
      <errorID>fdef4089-f668-4611-8e8e-f21e8c4185b3</errorID>
      <errorWord>(</errorWord>
      <group>L1_Format</group>
      <groupName>格式问题</groupName>
      <ability>L2_HalfPunc_CN</ability>
      <abilityName>全半角问题</abilityName>
      <candidateList>
        <item>（</item>
      </candidateList>
      <explain>文本全半角错误。</explain>
      <paraID>61B35C60</paraID>
      <start>3</start>
      <end>4</end>
      <status>unmodified</status>
      <modifiedWord/>
      <trackRevisions>false</trackRevisions>
    </reviewItem>
    <reviewItem>
      <errorID>8bc1a9d1-0ee0-4211-9241-c8c685ee79d8</errorID>
      <errorWord>)</errorWord>
      <group>L1_Format</group>
      <groupName>格式问题</groupName>
      <ability>L2_HalfPunc_CN</ability>
      <abilityName>全半角问题</abilityName>
      <candidateList>
        <item>）</item>
      </candidateList>
      <explain>文本全半角错误。</explain>
      <paraID>61B35C60</paraID>
      <start>9</start>
      <end>10</end>
      <status>unmodified</status>
      <modifiedWord/>
      <trackRevisions>false</trackRevisions>
    </reviewItem>
    <reviewItem>
      <errorID>5a7ad53c-9a9d-44b0-897e-e3187132fa8b</errorID>
      <errorWord>(</errorWord>
      <group>L1_Format</group>
      <groupName>格式问题</groupName>
      <ability>L2_HalfPunc_CN</ability>
      <abilityName>全半角问题</abilityName>
      <candidateList>
        <item>（</item>
      </candidateList>
      <explain>文本全半角错误。</explain>
      <paraID>732684B5</paraID>
      <start>13</start>
      <end>14</end>
      <status>unmodified</status>
      <modifiedWord/>
      <trackRevisions>false</trackRevisions>
    </reviewItem>
    <reviewItem>
      <errorID>45edf2a2-2505-439d-b323-c184d9287e0e</errorID>
      <errorWord>)</errorWord>
      <group>L1_Format</group>
      <groupName>格式问题</groupName>
      <ability>L2_HalfPunc_CN</ability>
      <abilityName>全半角问题</abilityName>
      <candidateList>
        <item>）</item>
      </candidateList>
      <explain>文本全半角错误。</explain>
      <paraID>732684B5</paraID>
      <start>26</start>
      <end>27</end>
      <status>unmodified</status>
      <modifiedWord/>
      <trackRevisions>false</trackRevisions>
    </reviewItem>
    <reviewItem>
      <errorID>94d52863-cf39-4b09-af89-616955cce1d1</errorID>
      <errorWord>（</errorWord>
      <group>L1_Punc</group>
      <groupName>标点问题</groupName>
      <ability>L2_Punc_CN</ability>
      <abilityName>标点符号问题</abilityName>
      <candidateList/>
      <explain>同一形式括号套用。</explain>
      <paraID>265BC55B</paraID>
      <start>39</start>
      <end>40</end>
      <status>unmodified</status>
      <modifiedWord/>
      <trackRevisions>false</trackRevisions>
    </reviewItem>
    <reviewItem>
      <errorID>0313ee57-ec81-4091-9028-eaa7e2bdbb48</errorID>
      <errorWord>(</errorWord>
      <group>L1_Punc</group>
      <groupName>标点问题</groupName>
      <ability>L2_Punc_CN</ability>
      <abilityName>标点符号问题</abilityName>
      <candidateList/>
      <explain>同一形式括号套用。</explain>
      <paraID>265BC55B</paraID>
      <start>50</start>
      <end>51</end>
      <status>unmodified</status>
      <modifiedWord/>
      <trackRevisions>false</trackRevisions>
    </reviewItem>
    <reviewItem>
      <errorID>90002486-3c87-4fc6-b6e2-78c2c903dd1d</errorID>
      <errorWord>)</errorWord>
      <group>L1_Punc</group>
      <groupName>标点问题</groupName>
      <ability>L2_Punc_CN</ability>
      <abilityName>标点符号问题</abilityName>
      <candidateList/>
      <explain>同一形式括号套用。</explain>
      <paraID>265BC55B</paraID>
      <start>52</start>
      <end>53</end>
      <status>unmodified</status>
      <modifiedWord/>
      <trackRevisions>false</trackRevisions>
    </reviewItem>
    <reviewItem>
      <errorID>27538445-6f1b-4680-9ea2-b7feacd8777a</errorID>
      <errorWord>）</errorWord>
      <group>L1_Punc</group>
      <groupName>标点问题</groupName>
      <ability>L2_Punc_CN</ability>
      <abilityName>标点符号问题</abilityName>
      <candidateList/>
      <explain>同一形式括号套用。</explain>
      <paraID>265BC55B</paraID>
      <start>59</start>
      <end>60</end>
      <status>unmodified</status>
      <modifiedWord/>
      <trackRevisions>false</trackRevisions>
    </reviewItem>
    <reviewItem>
      <errorID>ac936b0a-06e3-4eef-a68d-dbfbadf260e2</errorID>
      <errorWord>提高</errorWord>
      <group>L1_Grammar</group>
      <groupName>语法问题</groupName>
      <ability>L2_Grammar</ability>
      <abilityName>语法错误</abilityName>
      <candidateList>
        <item>增强</item>
      </candidateList>
      <explain>“提高～意识”搭配不当，建议修改为“增强～意识”。</explain>
      <paraID>59CD17E9</paraID>
      <start>10</start>
      <end>12</end>
      <status>unmodified</status>
      <modifiedWord/>
      <trackRevisions>false</trackRevisions>
    </reviewItem>
    <reviewItem>
      <errorID>bab23d2a-e988-4274-8187-5d577a48dfd5</errorID>
      <errorWord>&lt;</errorWord>
      <group>L1_Format</group>
      <groupName>格式问题</groupName>
      <ability>L2_HalfPunc_CN</ability>
      <abilityName>全半角问题</abilityName>
      <candidateList>
        <item>〈</item>
      </candidateList>
      <explain>文本全半角错误。</explain>
      <paraID>3A6223D8</paraID>
      <start>10</start>
      <end>11</end>
      <status>unmodified</status>
      <modifiedWord/>
      <trackRevisions>false</trackRevisions>
    </reviewItem>
    <reviewItem>
      <errorID>7a40ab02-c06a-48cf-9e38-781bbfd256c4</errorID>
      <errorWord>(</errorWord>
      <group>L1_Format</group>
      <groupName>格式问题</groupName>
      <ability>L2_HalfPunc_CN</ability>
      <abilityName>全半角问题</abilityName>
      <candidateList>
        <item>（</item>
      </candidateList>
      <explain>文本全半角错误。</explain>
      <paraID>3A6223D8</paraID>
      <start>23</start>
      <end>24</end>
      <status>unmodified</status>
      <modifiedWord/>
      <trackRevisions>false</trackRevisions>
    </reviewItem>
    <reviewItem>
      <errorID>6cb9a3b8-4d87-48ae-8e36-0917546bd122</errorID>
      <errorWord>)</errorWord>
      <group>L1_Format</group>
      <groupName>格式问题</groupName>
      <ability>L2_HalfPunc_CN</ability>
      <abilityName>全半角问题</abilityName>
      <candidateList>
        <item>）</item>
      </candidateList>
      <explain>文本全半角错误。</explain>
      <paraID>3A6223D8</paraID>
      <start>26</start>
      <end>27</end>
      <status>unmodified</status>
      <modifiedWord/>
      <trackRevisions>false</trackRevisions>
    </reviewItem>
    <reviewItem>
      <errorID>1cabf917-2ec5-4c5e-897a-34124acc3cd8</errorID>
      <errorWord>&gt;》</errorWord>
      <group>L1_Punc</group>
      <groupName>标点问题</groupName>
      <ability>L2_Punc_CN</ability>
      <abilityName>标点符号问题</abilityName>
      <candidateList>
        <item>》</item>
      </candidateList>
      <explain/>
      <paraID>3A6223D8</paraID>
      <start>27</start>
      <end>29</end>
      <status>unmodified</status>
      <modifiedWord/>
      <trackRevisions>false</trackRevisions>
    </reviewItem>
    <reviewItem>
      <errorID>d18c279c-1f35-4f49-b29a-1d961b47f824</errorID>
      <errorWord>整</errorWord>
      <group>L1_Word</group>
      <groupName>字词问题</groupName>
      <ability>L2_Typo</ability>
      <abilityName>字词错误</abilityName>
      <candidateList>
        <item>整个</item>
      </candidateList>
      <explain/>
      <paraID>3A6223D8</paraID>
      <start>37</start>
      <end>38</end>
      <status>unmodified</status>
      <modifiedWord/>
      <trackRevisions>false</trackRevisions>
    </reviewItem>
    <reviewItem>
      <errorID>a71619dd-6f87-4b09-8069-d4a88e842b4e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40992DF2</paraID>
      <start>68</start>
      <end>69</end>
      <status>unmodified</status>
      <modifiedWord/>
      <trackRevisions>false</trackRevisions>
    </reviewItem>
    <reviewItem>
      <errorID>dc3d64cc-6a10-4012-a991-2d57f463a134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21BEAC2A</paraID>
      <start>72</start>
      <end>73</end>
      <status>unmodified</status>
      <modifiedWord/>
      <trackRevisions>false</trackRevisions>
    </reviewItem>
    <reviewItem>
      <errorID>727f2716-0eb2-4769-a56a-babc61478996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5237816D</paraID>
      <start>105</start>
      <end>106</end>
      <status>unmodified</status>
      <modifiedWord/>
      <trackRevisions>false</trackRevisions>
    </reviewItem>
    <reviewItem>
      <errorID>fe50825e-6ec3-4b42-b606-ec64574ea83b</errorID>
      <errorWord>须留足够空间</errorWord>
      <group>L1_Word</group>
      <groupName>字词问题</groupName>
      <ability>L2_Typo</ability>
      <abilityName>字词错误</abilityName>
      <candidateList>
        <item>须保留足够空间</item>
      </candidateList>
      <explain/>
      <paraID>1771F550</paraID>
      <start>76</start>
      <end>82</end>
      <status>unmodified</status>
      <modifiedWord/>
      <trackRevisions>false</trackRevisions>
    </reviewItem>
    <reviewItem>
      <errorID>1fa940af-43b6-4a7f-86a6-ca11ab0ef385</errorID>
      <errorWord>期</errorWord>
      <group>L1_Word</group>
      <groupName>字词问题</groupName>
      <ability>L2_Typo</ability>
      <abilityName>字词错误</abilityName>
      <candidateList>
        <item>期间</item>
      </candidateList>
      <explain>〈名〉某个时期里面：农忙～｜春节～｜抗战～。</explain>
      <paraID>59ACFF24</paraID>
      <start>5</start>
      <end>6</end>
      <status>unmodified</status>
      <modifiedWord/>
      <trackRevisions>false</trackRevisions>
    </reviewItem>
    <reviewItem>
      <errorID>63a61c50-c1dd-412f-a5d8-78e60e6c5701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55DE5399</paraID>
      <start>7</start>
      <end>8</end>
      <status>unmodified</status>
      <modifiedWord/>
      <trackRevisions>false</trackRevisions>
    </reviewItem>
    <reviewItem>
      <errorID>2ae83ca2-5674-4f1c-b540-e3bb09a7d56d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47D0D6AD</paraID>
      <start>7</start>
      <end>8</end>
      <status>unmodified</status>
      <modifiedWord/>
      <trackRevisions>false</trackRevisions>
    </reviewItem>
    <reviewItem>
      <errorID>3687649a-bf1a-47c9-a933-ca2bd5aea7d2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39DC562D</paraID>
      <start>8</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94aa9f-267c-4a43-b730-6221b52a7290}">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79</Pages>
  <Words>16521</Words>
  <Characters>18394</Characters>
  <Lines>13</Lines>
  <Paragraphs>3</Paragraphs>
  <TotalTime>181</TotalTime>
  <ScaleCrop>false</ScaleCrop>
  <LinksUpToDate>false</LinksUpToDate>
  <CharactersWithSpaces>19596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W</cp:lastModifiedBy>
  <cp:lastPrinted>2025-12-05T07:32:00Z</cp:lastPrinted>
  <dcterms:modified xsi:type="dcterms:W3CDTF">2026-06-17T07:26:52Z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717DD519BEBA407D8F6CAB233CBB4C55_13</vt:lpwstr>
  </property>
  <property fmtid="{D5CDD505-2E9C-101B-9397-08002B2CF9AE}" pid="4" name="KSOTemplateDocerSaveRecord">
    <vt:lpwstr>eyJoZGlkIjoiNjg4NzdjYTIzN2U0MzQ3YWZmNzA0YjllZGY0ZDAwNWYiLCJ1c2VySWQiOiIxMzE3NTIwNjQyIn0=</vt:lpwstr>
  </property>
</Properties>
</file>