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9ADCC">
      <w:pPr>
        <w:adjustRightInd w:val="0"/>
        <w:snapToGrid w:val="0"/>
        <w:spacing w:line="360" w:lineRule="auto"/>
        <w:jc w:val="center"/>
        <w:rPr>
          <w:rFonts w:ascii="Times New Roman" w:hAnsi="Times New Roman" w:eastAsia="宋体" w:cs="Times New Roman"/>
          <w:b/>
          <w:bCs/>
          <w:sz w:val="32"/>
          <w:szCs w:val="32"/>
        </w:rPr>
      </w:pPr>
      <w:r>
        <w:rPr>
          <w:rFonts w:hint="eastAsia" w:ascii="Times New Roman" w:hAnsi="Times New Roman" w:eastAsia="宋体" w:cs="Times New Roman"/>
          <w:b/>
          <w:bCs/>
          <w:sz w:val="32"/>
          <w:szCs w:val="32"/>
        </w:rPr>
        <w:t>中山市恒泰塑胶科技有限公司塑胶件和五金模具生产项目</w:t>
      </w:r>
      <w:r>
        <w:rPr>
          <w:rFonts w:ascii="Times New Roman" w:hAnsi="Times New Roman" w:eastAsia="宋体" w:cs="Times New Roman"/>
          <w:b/>
          <w:bCs/>
          <w:sz w:val="32"/>
          <w:szCs w:val="32"/>
        </w:rPr>
        <w:t>竣工环境保护验收</w:t>
      </w:r>
      <w:r>
        <w:rPr>
          <w:rFonts w:hint="eastAsia" w:ascii="Times New Roman" w:hAnsi="Times New Roman" w:eastAsia="宋体" w:cs="Times New Roman"/>
          <w:b/>
          <w:bCs/>
          <w:sz w:val="32"/>
          <w:szCs w:val="32"/>
        </w:rPr>
        <w:t>其他需要说明的事项</w:t>
      </w:r>
    </w:p>
    <w:p w14:paraId="7E8B76C7">
      <w:pPr>
        <w:adjustRightInd w:val="0"/>
        <w:snapToGrid w:val="0"/>
        <w:spacing w:line="360" w:lineRule="auto"/>
        <w:ind w:firstLine="480" w:firstLineChars="200"/>
        <w:rPr>
          <w:rFonts w:ascii="宋体" w:hAnsi="宋体" w:eastAsia="宋体" w:cs="宋体"/>
          <w:sz w:val="24"/>
        </w:rPr>
      </w:pPr>
      <w:r>
        <w:rPr>
          <w:rFonts w:hint="eastAsia" w:ascii="宋体" w:hAnsi="宋体" w:eastAsia="宋体" w:cs="宋体"/>
          <w:sz w:val="24"/>
        </w:rPr>
        <w:t>根据《建设项目竣工环境保护验收暂行办法》，“其他需要说明的事项”中应如实记载的内容包括环境保护设施设计、施工和验收过程简况，环评及审批部门提出的环境保护措施的落实情况，专家组验收过程中提出的整改工作落实情况等。现说明情况如下。</w:t>
      </w:r>
    </w:p>
    <w:p w14:paraId="158557DE">
      <w:pPr>
        <w:pStyle w:val="24"/>
        <w:spacing w:line="360" w:lineRule="auto"/>
        <w:ind w:firstLine="480" w:firstLineChars="200"/>
        <w:jc w:val="left"/>
        <w:rPr>
          <w:rFonts w:ascii="Times New Roman" w:hAnsi="Times New Roman" w:cs="Times New Roman"/>
          <w:color w:val="auto"/>
          <w:lang w:val="zh-CN"/>
        </w:rPr>
      </w:pPr>
      <w:r>
        <w:rPr>
          <w:rStyle w:val="23"/>
          <w:rFonts w:hint="default" w:ascii="Times New Roman" w:hAnsi="Times New Roman" w:cs="Times New Roman"/>
          <w:sz w:val="24"/>
          <w:szCs w:val="24"/>
        </w:rPr>
        <w:t>项目位于</w:t>
      </w:r>
      <w:r>
        <w:rPr>
          <w:rFonts w:hint="eastAsia" w:cs="Times New Roman"/>
          <w:color w:val="auto"/>
          <w:szCs w:val="21"/>
          <w:lang w:eastAsia="zh-CN"/>
        </w:rPr>
        <w:t>中山市小榄镇联丰乐丰南路138号3号楼1层</w:t>
      </w:r>
      <w:r>
        <w:rPr>
          <w:rFonts w:ascii="Times New Roman" w:hAnsi="Times New Roman" w:cs="Times New Roman"/>
          <w:color w:val="auto"/>
        </w:rPr>
        <w:t>（</w:t>
      </w:r>
      <w:r>
        <w:rPr>
          <w:szCs w:val="21"/>
        </w:rPr>
        <w:t>东经</w:t>
      </w:r>
      <w:r>
        <w:rPr>
          <w:rFonts w:hint="eastAsia" w:ascii="Times New Roman" w:hAnsi="Times New Roman"/>
          <w:sz w:val="24"/>
          <w:szCs w:val="21"/>
        </w:rPr>
        <w:t>113°</w:t>
      </w:r>
      <w:r>
        <w:rPr>
          <w:rFonts w:hint="eastAsia" w:ascii="Times New Roman" w:hAnsi="Times New Roman"/>
          <w:sz w:val="24"/>
          <w:szCs w:val="21"/>
          <w:lang w:val="en-US" w:eastAsia="zh-CN"/>
        </w:rPr>
        <w:t>13</w:t>
      </w:r>
      <w:r>
        <w:rPr>
          <w:rFonts w:hint="eastAsia" w:ascii="Times New Roman" w:hAnsi="Times New Roman"/>
          <w:sz w:val="24"/>
          <w:szCs w:val="21"/>
        </w:rPr>
        <w:t>′</w:t>
      </w:r>
      <w:r>
        <w:rPr>
          <w:rFonts w:hint="eastAsia" w:ascii="Times New Roman" w:hAnsi="Times New Roman"/>
          <w:sz w:val="24"/>
          <w:szCs w:val="21"/>
          <w:lang w:val="en-US" w:eastAsia="zh-CN"/>
        </w:rPr>
        <w:t>55</w:t>
      </w:r>
      <w:r>
        <w:rPr>
          <w:rFonts w:hint="eastAsia" w:ascii="Times New Roman" w:hAnsi="Times New Roman"/>
          <w:sz w:val="24"/>
          <w:szCs w:val="21"/>
        </w:rPr>
        <w:t>.</w:t>
      </w:r>
      <w:r>
        <w:rPr>
          <w:rFonts w:hint="eastAsia" w:ascii="Times New Roman" w:hAnsi="Times New Roman"/>
          <w:sz w:val="24"/>
          <w:szCs w:val="21"/>
          <w:lang w:val="en-US" w:eastAsia="zh-CN"/>
        </w:rPr>
        <w:t>51</w:t>
      </w:r>
      <w:r>
        <w:rPr>
          <w:rFonts w:hint="eastAsia" w:ascii="Times New Roman" w:hAnsi="Times New Roman"/>
          <w:sz w:val="24"/>
          <w:szCs w:val="21"/>
        </w:rPr>
        <w:t>6″</w:t>
      </w:r>
      <w:r>
        <w:rPr>
          <w:rFonts w:hint="eastAsia" w:ascii="Times New Roman" w:hAnsi="Times New Roman"/>
          <w:sz w:val="24"/>
          <w:szCs w:val="21"/>
          <w:lang w:eastAsia="zh-CN"/>
        </w:rPr>
        <w:t>，</w:t>
      </w:r>
      <w:r>
        <w:rPr>
          <w:rFonts w:hint="eastAsia" w:ascii="Times New Roman" w:hAnsi="Times New Roman"/>
          <w:sz w:val="24"/>
          <w:szCs w:val="21"/>
        </w:rPr>
        <w:t>北纬22°</w:t>
      </w:r>
      <w:r>
        <w:rPr>
          <w:rFonts w:hint="eastAsia" w:ascii="Times New Roman" w:hAnsi="Times New Roman"/>
          <w:sz w:val="24"/>
          <w:szCs w:val="21"/>
          <w:lang w:val="en-US" w:eastAsia="zh-CN"/>
        </w:rPr>
        <w:t>35</w:t>
      </w:r>
      <w:r>
        <w:rPr>
          <w:rFonts w:hint="eastAsia" w:ascii="Times New Roman" w:hAnsi="Times New Roman"/>
          <w:sz w:val="24"/>
          <w:szCs w:val="21"/>
        </w:rPr>
        <w:t>′</w:t>
      </w:r>
      <w:r>
        <w:rPr>
          <w:rFonts w:hint="eastAsia" w:ascii="Times New Roman" w:hAnsi="Times New Roman"/>
          <w:sz w:val="24"/>
          <w:szCs w:val="21"/>
          <w:lang w:val="en-US" w:eastAsia="zh-CN"/>
        </w:rPr>
        <w:t>34</w:t>
      </w:r>
      <w:r>
        <w:rPr>
          <w:rFonts w:hint="eastAsia" w:ascii="Times New Roman" w:hAnsi="Times New Roman"/>
          <w:sz w:val="24"/>
          <w:szCs w:val="21"/>
        </w:rPr>
        <w:t>.</w:t>
      </w:r>
      <w:r>
        <w:rPr>
          <w:rFonts w:hint="eastAsia" w:ascii="Times New Roman" w:hAnsi="Times New Roman"/>
          <w:sz w:val="24"/>
          <w:szCs w:val="21"/>
          <w:lang w:val="en-US" w:eastAsia="zh-CN"/>
        </w:rPr>
        <w:t>962</w:t>
      </w:r>
      <w:r>
        <w:rPr>
          <w:rFonts w:hint="eastAsia" w:ascii="Times New Roman" w:hAnsi="Times New Roman"/>
          <w:sz w:val="24"/>
          <w:szCs w:val="21"/>
        </w:rPr>
        <w:t>″</w:t>
      </w:r>
      <w:r>
        <w:rPr>
          <w:rFonts w:ascii="Times New Roman" w:hAnsi="Times New Roman" w:cs="Times New Roman"/>
          <w:color w:val="auto"/>
        </w:rPr>
        <w:t>）。</w:t>
      </w:r>
      <w:r>
        <w:rPr>
          <w:rFonts w:hint="eastAsia" w:ascii="Times New Roman" w:hAnsi="Times New Roman" w:cs="Times New Roman"/>
          <w:color w:val="auto"/>
        </w:rPr>
        <w:t>项目</w:t>
      </w:r>
      <w:r>
        <w:rPr>
          <w:rFonts w:hint="eastAsia" w:ascii="Times New Roman" w:hAnsi="Times New Roman" w:cs="Times New Roman"/>
          <w:szCs w:val="21"/>
        </w:rPr>
        <w:t>投资</w:t>
      </w:r>
      <w:r>
        <w:rPr>
          <w:rFonts w:hint="eastAsia" w:ascii="Times New Roman" w:hAnsi="Times New Roman" w:cs="Times New Roman"/>
          <w:szCs w:val="21"/>
          <w:lang w:val="en-US" w:eastAsia="zh-CN"/>
        </w:rPr>
        <w:t>2500</w:t>
      </w:r>
      <w:r>
        <w:rPr>
          <w:rFonts w:hint="eastAsia" w:ascii="Times New Roman" w:hAnsi="Times New Roman" w:cs="Times New Roman"/>
          <w:szCs w:val="21"/>
        </w:rPr>
        <w:t>万元，其中环保投资</w:t>
      </w:r>
      <w:r>
        <w:rPr>
          <w:rFonts w:hint="eastAsia" w:ascii="Times New Roman" w:hAnsi="Times New Roman" w:cs="Times New Roman"/>
          <w:szCs w:val="21"/>
          <w:lang w:val="en-US" w:eastAsia="zh-CN"/>
        </w:rPr>
        <w:t>3</w:t>
      </w:r>
      <w:r>
        <w:rPr>
          <w:rFonts w:hint="eastAsia" w:ascii="Times New Roman" w:hAnsi="Times New Roman" w:cs="Times New Roman"/>
          <w:szCs w:val="21"/>
        </w:rPr>
        <w:t>0万元</w:t>
      </w:r>
      <w:r>
        <w:rPr>
          <w:rFonts w:ascii="Times New Roman" w:hAnsi="Times New Roman" w:cs="Times New Roman"/>
          <w:color w:val="auto"/>
        </w:rPr>
        <w:t>，</w:t>
      </w:r>
      <w:r>
        <w:rPr>
          <w:rFonts w:hint="eastAsia" w:ascii="Times New Roman" w:hAnsi="Times New Roman" w:cs="Times New Roman"/>
          <w:color w:val="auto"/>
        </w:rPr>
        <w:t>项目</w:t>
      </w:r>
      <w:r>
        <w:rPr>
          <w:rFonts w:hint="eastAsia" w:ascii="Times New Roman" w:hAnsi="Times New Roman" w:cs="Times New Roman"/>
          <w:szCs w:val="21"/>
        </w:rPr>
        <w:t>用地面积为</w:t>
      </w:r>
      <w:r>
        <w:rPr>
          <w:rFonts w:hint="eastAsia" w:ascii="Times New Roman" w:hAnsi="Times New Roman" w:cs="Times New Roman"/>
          <w:szCs w:val="21"/>
          <w:lang w:val="en-US" w:eastAsia="zh-CN"/>
        </w:rPr>
        <w:t>6408</w:t>
      </w:r>
      <w:r>
        <w:rPr>
          <w:rFonts w:hint="eastAsia" w:ascii="Times New Roman" w:hAnsi="Times New Roman" w:cs="Times New Roman"/>
          <w:szCs w:val="21"/>
        </w:rPr>
        <w:t>平方米，建筑面积为</w:t>
      </w:r>
      <w:r>
        <w:rPr>
          <w:rFonts w:hint="eastAsia" w:ascii="Times New Roman" w:cs="宋体"/>
          <w:b w:val="0"/>
          <w:bCs/>
          <w:color w:val="000000"/>
          <w:sz w:val="24"/>
          <w:szCs w:val="24"/>
          <w:lang w:val="en-US" w:eastAsia="zh-CN"/>
        </w:rPr>
        <w:t>6594</w:t>
      </w:r>
      <w:r>
        <w:rPr>
          <w:rFonts w:hint="eastAsia" w:ascii="Times New Roman" w:hAnsi="Times New Roman" w:cs="Times New Roman"/>
          <w:szCs w:val="21"/>
        </w:rPr>
        <w:t>平方米</w:t>
      </w:r>
      <w:r>
        <w:rPr>
          <w:rFonts w:ascii="Times New Roman" w:hAnsi="Times New Roman" w:cs="Times New Roman"/>
          <w:color w:val="auto"/>
        </w:rPr>
        <w:t>，主要</w:t>
      </w:r>
      <w:r>
        <w:rPr>
          <w:rFonts w:hint="eastAsia" w:ascii="Times New Roman" w:hAnsi="Times New Roman" w:cs="Times New Roman"/>
          <w:color w:val="auto"/>
        </w:rPr>
        <w:t>塑胶件和五金模具的生产与销售，年产塑胶件1030吨/年、五金模具240套/年</w:t>
      </w:r>
      <w:r>
        <w:rPr>
          <w:rFonts w:ascii="Times New Roman" w:hAnsi="Times New Roman" w:cs="Times New Roman"/>
          <w:color w:val="auto"/>
        </w:rPr>
        <w:t>。</w:t>
      </w:r>
      <w:r>
        <w:rPr>
          <w:rFonts w:ascii="Times New Roman" w:hAnsi="Times New Roman" w:cs="Times New Roman"/>
          <w:color w:val="auto"/>
          <w:lang w:val="zh-CN"/>
        </w:rPr>
        <w:t xml:space="preserve">  </w:t>
      </w:r>
    </w:p>
    <w:p w14:paraId="1A4A6FFA">
      <w:pPr>
        <w:pStyle w:val="14"/>
        <w:numPr>
          <w:ilvl w:val="0"/>
          <w:numId w:val="1"/>
        </w:numPr>
        <w:adjustRightInd w:val="0"/>
        <w:snapToGrid w:val="0"/>
        <w:spacing w:line="360" w:lineRule="auto"/>
        <w:ind w:firstLine="0" w:firstLineChars="0"/>
        <w:rPr>
          <w:rFonts w:ascii="宋体" w:hAnsi="宋体" w:eastAsia="宋体" w:cs="宋体"/>
          <w:b/>
          <w:bCs/>
          <w:sz w:val="24"/>
        </w:rPr>
      </w:pPr>
      <w:r>
        <w:rPr>
          <w:rFonts w:hint="eastAsia" w:ascii="宋体" w:hAnsi="宋体" w:eastAsia="宋体" w:cs="宋体"/>
          <w:b/>
          <w:bCs/>
          <w:sz w:val="24"/>
        </w:rPr>
        <w:t>环境保护设施设计、施工和验收过程简况</w:t>
      </w:r>
    </w:p>
    <w:p w14:paraId="070C5B00">
      <w:pPr>
        <w:pStyle w:val="14"/>
        <w:adjustRightInd w:val="0"/>
        <w:snapToGrid w:val="0"/>
        <w:spacing w:line="360" w:lineRule="auto"/>
        <w:ind w:firstLine="0" w:firstLineChars="0"/>
        <w:rPr>
          <w:rFonts w:ascii="宋体" w:hAnsi="宋体" w:eastAsia="宋体" w:cs="宋体"/>
          <w:sz w:val="24"/>
        </w:rPr>
      </w:pPr>
      <w:r>
        <w:rPr>
          <w:rFonts w:ascii="Times New Roman" w:hAnsi="Times New Roman" w:eastAsia="宋体" w:cs="Times New Roman"/>
          <w:sz w:val="24"/>
        </w:rPr>
        <w:t>1.1</w:t>
      </w:r>
      <w:r>
        <w:rPr>
          <w:rFonts w:hint="eastAsia" w:ascii="宋体" w:hAnsi="宋体" w:eastAsia="宋体" w:cs="宋体"/>
          <w:sz w:val="24"/>
        </w:rPr>
        <w:t>设计、施工简况</w:t>
      </w:r>
    </w:p>
    <w:p w14:paraId="0CB63B51">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项目的环境保护设施纳入了初步设计，并且符合环境保护设计规范的要求。</w:t>
      </w:r>
      <w:r>
        <w:rPr>
          <w:rStyle w:val="23"/>
          <w:rFonts w:hint="eastAsia" w:eastAsia="宋体"/>
          <w:color w:val="auto"/>
          <w:sz w:val="24"/>
          <w:szCs w:val="24"/>
          <w:lang w:val="en-US" w:eastAsia="zh-CN"/>
        </w:rPr>
        <w:t>恒泰智能科技（中山）有限公司</w:t>
      </w:r>
      <w:r>
        <w:rPr>
          <w:rFonts w:hint="eastAsia" w:ascii="宋体" w:hAnsi="宋体" w:eastAsia="宋体" w:cs="宋体"/>
          <w:sz w:val="24"/>
        </w:rPr>
        <w:t>落实了专项环保资金。项目建设过程中实施了环境影响报告表及其审批部门审批决定中提出的环境保护对策措施。</w:t>
      </w:r>
    </w:p>
    <w:p w14:paraId="553AB752">
      <w:pPr>
        <w:pStyle w:val="14"/>
        <w:adjustRightInd w:val="0"/>
        <w:snapToGrid w:val="0"/>
        <w:spacing w:line="360" w:lineRule="auto"/>
        <w:ind w:firstLine="0" w:firstLineChars="0"/>
        <w:rPr>
          <w:rFonts w:ascii="宋体" w:hAnsi="宋体" w:eastAsia="宋体" w:cs="宋体"/>
          <w:sz w:val="24"/>
        </w:rPr>
      </w:pPr>
      <w:r>
        <w:rPr>
          <w:rFonts w:ascii="Times New Roman" w:hAnsi="Times New Roman" w:eastAsia="宋体" w:cs="Times New Roman"/>
          <w:sz w:val="24"/>
        </w:rPr>
        <w:t>1.2</w:t>
      </w:r>
      <w:r>
        <w:rPr>
          <w:rFonts w:hint="eastAsia" w:ascii="宋体" w:hAnsi="宋体" w:eastAsia="宋体" w:cs="宋体"/>
          <w:sz w:val="24"/>
        </w:rPr>
        <w:t>验收过程简况</w:t>
      </w:r>
    </w:p>
    <w:p w14:paraId="0DEBAB89">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本项目于</w:t>
      </w: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年</w:t>
      </w:r>
      <w:r>
        <w:rPr>
          <w:rFonts w:hint="eastAsia" w:ascii="Times New Roman" w:hAnsi="Times New Roman" w:eastAsia="宋体" w:cs="Times New Roman"/>
          <w:sz w:val="24"/>
          <w:lang w:val="en-US" w:eastAsia="zh-CN"/>
        </w:rPr>
        <w:t>11</w:t>
      </w:r>
      <w:r>
        <w:rPr>
          <w:rFonts w:ascii="Times New Roman" w:hAnsi="Times New Roman" w:eastAsia="宋体" w:cs="Times New Roman"/>
          <w:sz w:val="24"/>
        </w:rPr>
        <w:t>月</w:t>
      </w:r>
      <w:r>
        <w:rPr>
          <w:rFonts w:hint="eastAsia" w:ascii="宋体" w:hAnsi="宋体" w:eastAsia="宋体" w:cs="宋体"/>
          <w:sz w:val="24"/>
        </w:rPr>
        <w:t>建成，建成后立即启动验收工作，</w:t>
      </w: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年</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月</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日至20</w:t>
      </w:r>
      <w:r>
        <w:rPr>
          <w:rFonts w:hint="eastAsia" w:ascii="Times New Roman" w:hAnsi="Times New Roman" w:eastAsia="宋体" w:cs="Times New Roman"/>
          <w:sz w:val="24"/>
          <w:lang w:val="en-US" w:eastAsia="zh-CN"/>
        </w:rPr>
        <w:t>26</w:t>
      </w:r>
      <w:r>
        <w:rPr>
          <w:rFonts w:ascii="Times New Roman" w:hAnsi="Times New Roman" w:eastAsia="宋体" w:cs="Times New Roman"/>
          <w:sz w:val="24"/>
        </w:rPr>
        <w:t>年</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月</w:t>
      </w:r>
      <w:r>
        <w:rPr>
          <w:rFonts w:hint="eastAsia" w:ascii="Times New Roman" w:hAnsi="Times New Roman" w:eastAsia="宋体" w:cs="Times New Roman"/>
          <w:sz w:val="24"/>
          <w:lang w:val="en-US" w:eastAsia="zh-CN"/>
        </w:rPr>
        <w:t>7</w:t>
      </w:r>
      <w:r>
        <w:rPr>
          <w:rFonts w:ascii="Times New Roman" w:hAnsi="Times New Roman" w:eastAsia="宋体" w:cs="Times New Roman"/>
          <w:sz w:val="24"/>
        </w:rPr>
        <w:t>日</w:t>
      </w:r>
      <w:r>
        <w:rPr>
          <w:rFonts w:hint="eastAsia" w:ascii="宋体" w:hAnsi="宋体" w:eastAsia="宋体" w:cs="宋体"/>
          <w:sz w:val="24"/>
        </w:rPr>
        <w:t>委托</w:t>
      </w:r>
      <w:r>
        <w:rPr>
          <w:rFonts w:hint="eastAsia" w:ascii="宋体" w:hAnsi="宋体" w:eastAsia="宋体" w:cs="宋体"/>
          <w:sz w:val="24"/>
          <w:lang w:val="en-US" w:eastAsia="zh-CN"/>
        </w:rPr>
        <w:t>广东中鑫检测技术有限公司</w:t>
      </w:r>
      <w:r>
        <w:rPr>
          <w:rFonts w:hint="eastAsia" w:ascii="宋体" w:hAnsi="宋体" w:eastAsia="宋体" w:cs="宋体"/>
          <w:sz w:val="24"/>
        </w:rPr>
        <w:t>开展竣工环保验收监测，</w:t>
      </w: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年</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月</w:t>
      </w:r>
      <w:r>
        <w:rPr>
          <w:rFonts w:hint="eastAsia" w:ascii="宋体" w:hAnsi="宋体" w:eastAsia="宋体" w:cs="宋体"/>
          <w:sz w:val="24"/>
        </w:rPr>
        <w:t>完成了验收监测报告表的编制。</w:t>
      </w:r>
    </w:p>
    <w:p w14:paraId="73BF79FC">
      <w:pPr>
        <w:pStyle w:val="14"/>
        <w:adjustRightInd w:val="0"/>
        <w:snapToGrid w:val="0"/>
        <w:spacing w:line="360" w:lineRule="auto"/>
        <w:ind w:firstLine="480"/>
        <w:rPr>
          <w:rFonts w:ascii="宋体" w:hAnsi="宋体" w:eastAsia="宋体" w:cs="宋体"/>
          <w:sz w:val="24"/>
        </w:rPr>
      </w:pP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年</w:t>
      </w:r>
      <w:r>
        <w:rPr>
          <w:rFonts w:hint="eastAsia" w:ascii="Times New Roman" w:hAnsi="Times New Roman" w:eastAsia="宋体" w:cs="Times New Roman"/>
          <w:color w:val="auto"/>
          <w:sz w:val="24"/>
          <w:lang w:val="en-US" w:eastAsia="zh-CN"/>
        </w:rPr>
        <w:t>5</w:t>
      </w:r>
      <w:r>
        <w:rPr>
          <w:rFonts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28</w:t>
      </w:r>
      <w:r>
        <w:rPr>
          <w:rFonts w:ascii="Times New Roman" w:hAnsi="Times New Roman" w:eastAsia="宋体" w:cs="Times New Roman"/>
          <w:color w:val="auto"/>
          <w:sz w:val="24"/>
        </w:rPr>
        <w:t>日</w:t>
      </w:r>
      <w:r>
        <w:rPr>
          <w:rFonts w:hint="eastAsia" w:ascii="宋体" w:hAnsi="宋体" w:eastAsia="宋体" w:cs="宋体"/>
          <w:sz w:val="24"/>
        </w:rPr>
        <w:t>，</w:t>
      </w:r>
      <w:r>
        <w:rPr>
          <w:rFonts w:hint="eastAsia" w:ascii="宋体" w:hAnsi="宋体" w:eastAsia="宋体" w:cs="宋体"/>
          <w:sz w:val="24"/>
          <w:lang w:val="en-US" w:eastAsia="zh-CN"/>
        </w:rPr>
        <w:t>恒泰智能科技（中山）有限公司、环保技</w:t>
      </w:r>
      <w:r>
        <w:rPr>
          <w:rFonts w:hint="eastAsia" w:ascii="宋体" w:hAnsi="宋体" w:eastAsia="宋体" w:cs="宋体"/>
          <w:sz w:val="24"/>
        </w:rPr>
        <w:t>术咨询单位中山市中赢环保工程有限公司和专家组成的竣工环境保护验收工</w:t>
      </w:r>
      <w:bookmarkStart w:id="0" w:name="_GoBack"/>
      <w:bookmarkEnd w:id="0"/>
      <w:r>
        <w:rPr>
          <w:rFonts w:hint="eastAsia" w:ascii="宋体" w:hAnsi="宋体" w:eastAsia="宋体" w:cs="宋体"/>
          <w:sz w:val="24"/>
        </w:rPr>
        <w:t>作组对《中山市恒泰塑胶科技有限公司塑胶件和五金模具生产项目》进行竣工环境保护验收，验收结论如下。</w:t>
      </w:r>
    </w:p>
    <w:p w14:paraId="1E0AF5B8">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项目根据国家有关环境保护法律、法规的要求进行了环境影响评价，履行了建设项目环境影响审批手续和“三同时”制度。建设单位按照各级环保部门和环境影响报告表及其批复的要求，落实了各项环境保护措施。验收工作组一致同意本项目通过竣工环境保护验收。</w:t>
      </w:r>
    </w:p>
    <w:p w14:paraId="7640FED4">
      <w:pPr>
        <w:pStyle w:val="14"/>
        <w:adjustRightInd w:val="0"/>
        <w:snapToGrid w:val="0"/>
        <w:spacing w:line="360" w:lineRule="auto"/>
        <w:ind w:firstLine="0" w:firstLineChars="0"/>
        <w:rPr>
          <w:rFonts w:ascii="宋体" w:hAnsi="宋体" w:eastAsia="宋体" w:cs="宋体"/>
          <w:sz w:val="24"/>
        </w:rPr>
      </w:pPr>
      <w:r>
        <w:rPr>
          <w:rFonts w:ascii="Times New Roman" w:hAnsi="Times New Roman" w:eastAsia="宋体" w:cs="Times New Roman"/>
          <w:sz w:val="24"/>
        </w:rPr>
        <w:t>1.3</w:t>
      </w:r>
      <w:r>
        <w:rPr>
          <w:rFonts w:hint="eastAsia" w:ascii="宋体" w:hAnsi="宋体" w:eastAsia="宋体" w:cs="宋体"/>
          <w:sz w:val="24"/>
        </w:rPr>
        <w:t>公众反馈意见及处理情况</w:t>
      </w:r>
    </w:p>
    <w:p w14:paraId="013D1744">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建设项目设计、施工和验收期间没有收到过公众反馈意见和投诉。</w:t>
      </w:r>
    </w:p>
    <w:p w14:paraId="4E1C557F">
      <w:pPr>
        <w:pStyle w:val="14"/>
        <w:numPr>
          <w:ilvl w:val="0"/>
          <w:numId w:val="1"/>
        </w:numPr>
        <w:adjustRightInd w:val="0"/>
        <w:snapToGrid w:val="0"/>
        <w:spacing w:line="360" w:lineRule="auto"/>
        <w:ind w:firstLine="0" w:firstLineChars="0"/>
        <w:rPr>
          <w:rFonts w:ascii="宋体" w:hAnsi="宋体" w:eastAsia="宋体" w:cs="宋体"/>
          <w:b/>
          <w:bCs/>
          <w:sz w:val="24"/>
        </w:rPr>
      </w:pPr>
      <w:r>
        <w:rPr>
          <w:rFonts w:hint="eastAsia" w:ascii="宋体" w:hAnsi="宋体" w:eastAsia="宋体" w:cs="宋体"/>
          <w:b/>
          <w:bCs/>
          <w:sz w:val="24"/>
        </w:rPr>
        <w:t>其他环境保护措施的落实情况</w:t>
      </w:r>
    </w:p>
    <w:p w14:paraId="6557BA39">
      <w:pPr>
        <w:pStyle w:val="14"/>
        <w:adjustRightInd w:val="0"/>
        <w:snapToGrid w:val="0"/>
        <w:spacing w:line="360" w:lineRule="auto"/>
        <w:ind w:firstLine="0" w:firstLineChars="0"/>
        <w:rPr>
          <w:rFonts w:ascii="宋体" w:hAnsi="宋体" w:eastAsia="宋体" w:cs="宋体"/>
          <w:sz w:val="24"/>
        </w:rPr>
      </w:pPr>
      <w:r>
        <w:rPr>
          <w:rFonts w:ascii="Times New Roman" w:hAnsi="Times New Roman" w:eastAsia="宋体" w:cs="Times New Roman"/>
          <w:sz w:val="24"/>
        </w:rPr>
        <w:t>2.1</w:t>
      </w:r>
      <w:r>
        <w:rPr>
          <w:rFonts w:hint="eastAsia" w:ascii="宋体" w:hAnsi="宋体" w:eastAsia="宋体" w:cs="宋体"/>
          <w:sz w:val="24"/>
        </w:rPr>
        <w:t>制度措施落实情况</w:t>
      </w:r>
    </w:p>
    <w:p w14:paraId="275A19D2">
      <w:pPr>
        <w:pStyle w:val="14"/>
        <w:adjustRightInd w:val="0"/>
        <w:snapToGrid w:val="0"/>
        <w:spacing w:line="360" w:lineRule="auto"/>
        <w:ind w:firstLine="480"/>
        <w:rPr>
          <w:rFonts w:ascii="Times New Roman" w:hAnsi="Times New Roman" w:eastAsia="宋体" w:cs="Times New Roman"/>
          <w:sz w:val="24"/>
        </w:rPr>
      </w:pPr>
      <w:r>
        <w:rPr>
          <w:rFonts w:ascii="Times New Roman" w:hAnsi="Times New Roman" w:eastAsia="宋体" w:cs="Times New Roman"/>
          <w:sz w:val="24"/>
        </w:rPr>
        <w:t>①环保组织机构及规章制度</w:t>
      </w:r>
    </w:p>
    <w:p w14:paraId="2891F03C">
      <w:pPr>
        <w:pStyle w:val="14"/>
        <w:adjustRightInd w:val="0"/>
        <w:snapToGrid w:val="0"/>
        <w:spacing w:line="360" w:lineRule="auto"/>
        <w:ind w:firstLine="480"/>
        <w:rPr>
          <w:rFonts w:ascii="Times New Roman" w:hAnsi="Times New Roman" w:eastAsia="宋体" w:cs="Times New Roman"/>
          <w:sz w:val="24"/>
        </w:rPr>
      </w:pPr>
      <w:r>
        <w:rPr>
          <w:rFonts w:ascii="Times New Roman" w:hAnsi="Times New Roman" w:eastAsia="宋体" w:cs="Times New Roman"/>
          <w:sz w:val="24"/>
        </w:rPr>
        <w:t>公司制订了《</w:t>
      </w:r>
      <w:r>
        <w:rPr>
          <w:rFonts w:hint="eastAsia" w:ascii="Times New Roman" w:hAnsi="Times New Roman" w:eastAsia="宋体" w:cs="Times New Roman"/>
          <w:sz w:val="24"/>
          <w:lang w:val="en-US" w:eastAsia="zh-CN"/>
        </w:rPr>
        <w:t>恒泰智能科技（中山）有限公司</w:t>
      </w:r>
      <w:r>
        <w:rPr>
          <w:rFonts w:ascii="Times New Roman" w:hAnsi="Times New Roman" w:eastAsia="宋体" w:cs="Times New Roman"/>
          <w:sz w:val="24"/>
        </w:rPr>
        <w:t>环境管理制度》，具体内容见《</w:t>
      </w:r>
      <w:r>
        <w:rPr>
          <w:rFonts w:hint="eastAsia" w:ascii="Times New Roman" w:hAnsi="Times New Roman" w:eastAsia="宋体" w:cs="Times New Roman"/>
          <w:sz w:val="24"/>
          <w:lang w:val="en-US" w:eastAsia="zh-CN"/>
        </w:rPr>
        <w:t>恒泰智能科技（中山）有限公司</w:t>
      </w:r>
      <w:r>
        <w:rPr>
          <w:rFonts w:ascii="Times New Roman" w:hAnsi="Times New Roman" w:eastAsia="宋体" w:cs="Times New Roman"/>
          <w:sz w:val="24"/>
        </w:rPr>
        <w:t>环境管理制度》。</w:t>
      </w:r>
    </w:p>
    <w:p w14:paraId="7C3F96BF">
      <w:pPr>
        <w:pStyle w:val="14"/>
        <w:adjustRightInd w:val="0"/>
        <w:snapToGrid w:val="0"/>
        <w:spacing w:line="360" w:lineRule="auto"/>
        <w:ind w:firstLine="480"/>
        <w:rPr>
          <w:rFonts w:ascii="Times New Roman" w:hAnsi="Times New Roman" w:eastAsia="宋体" w:cs="Times New Roman"/>
          <w:sz w:val="24"/>
        </w:rPr>
      </w:pPr>
      <w:r>
        <w:rPr>
          <w:rFonts w:ascii="Times New Roman" w:hAnsi="Times New Roman" w:eastAsia="宋体" w:cs="Times New Roman"/>
          <w:sz w:val="24"/>
        </w:rPr>
        <w:t>②环境风险防范措施</w:t>
      </w:r>
    </w:p>
    <w:p w14:paraId="2C423EEF">
      <w:pPr>
        <w:pStyle w:val="14"/>
        <w:adjustRightInd w:val="0"/>
        <w:snapToGrid w:val="0"/>
        <w:spacing w:line="360" w:lineRule="auto"/>
        <w:ind w:firstLine="480"/>
        <w:rPr>
          <w:rFonts w:ascii="Times New Roman" w:hAnsi="Times New Roman" w:eastAsia="宋体" w:cs="Times New Roman"/>
          <w:sz w:val="24"/>
        </w:rPr>
      </w:pPr>
      <w:r>
        <w:rPr>
          <w:rFonts w:ascii="Times New Roman" w:hAnsi="Times New Roman" w:eastAsia="宋体" w:cs="Times New Roman"/>
          <w:sz w:val="24"/>
        </w:rPr>
        <w:t>公司制订了《</w:t>
      </w:r>
      <w:r>
        <w:rPr>
          <w:rFonts w:hint="eastAsia" w:ascii="Times New Roman" w:hAnsi="Times New Roman" w:eastAsia="宋体" w:cs="Times New Roman"/>
          <w:sz w:val="24"/>
          <w:lang w:val="en-US" w:eastAsia="zh-CN"/>
        </w:rPr>
        <w:t>恒泰智能科技（中山）有限公司</w:t>
      </w:r>
      <w:r>
        <w:rPr>
          <w:rFonts w:ascii="Times New Roman" w:hAnsi="Times New Roman" w:eastAsia="宋体" w:cs="Times New Roman"/>
          <w:sz w:val="24"/>
        </w:rPr>
        <w:t>环境风险应急预案》，按照预案进行了应急演练。</w:t>
      </w:r>
    </w:p>
    <w:p w14:paraId="2D05A2CB">
      <w:pPr>
        <w:pStyle w:val="14"/>
        <w:adjustRightInd w:val="0"/>
        <w:snapToGrid w:val="0"/>
        <w:spacing w:line="360" w:lineRule="auto"/>
        <w:ind w:firstLine="480"/>
        <w:rPr>
          <w:rFonts w:ascii="宋体" w:hAnsi="宋体" w:eastAsia="宋体" w:cs="宋体"/>
          <w:sz w:val="24"/>
        </w:rPr>
      </w:pPr>
      <w:r>
        <w:rPr>
          <w:rFonts w:ascii="Times New Roman" w:hAnsi="Times New Roman" w:eastAsia="宋体" w:cs="Times New Roman"/>
          <w:sz w:val="24"/>
        </w:rPr>
        <w:t>③</w:t>
      </w:r>
      <w:r>
        <w:rPr>
          <w:rFonts w:hint="eastAsia" w:ascii="宋体" w:hAnsi="宋体" w:eastAsia="宋体" w:cs="宋体"/>
          <w:sz w:val="24"/>
        </w:rPr>
        <w:t>环境监测计划</w:t>
      </w:r>
    </w:p>
    <w:p w14:paraId="25719A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Style w:val="23"/>
          <w:rFonts w:hint="eastAsia" w:ascii="宋体" w:hAnsi="宋体" w:eastAsia="宋体" w:cs="Times New Roman"/>
          <w:color w:val="auto"/>
          <w:kern w:val="2"/>
          <w:sz w:val="24"/>
          <w:szCs w:val="24"/>
          <w:lang w:val="en-US" w:eastAsia="zh-CN" w:bidi="ar-SA"/>
        </w:rPr>
      </w:pPr>
      <w:r>
        <w:rPr>
          <w:rStyle w:val="23"/>
          <w:rFonts w:hint="eastAsia" w:ascii="宋体" w:hAnsi="宋体" w:eastAsia="宋体" w:cs="Times New Roman"/>
          <w:color w:val="auto"/>
          <w:kern w:val="2"/>
          <w:sz w:val="24"/>
          <w:szCs w:val="24"/>
          <w:lang w:val="en-US" w:eastAsia="zh-CN" w:bidi="ar-SA"/>
        </w:rPr>
        <w:t>根据《固定污染源排污许可分类管理名录》和《固定污染源排污登记工作指</w:t>
      </w:r>
    </w:p>
    <w:p w14:paraId="53FC891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Style w:val="23"/>
          <w:rFonts w:hint="eastAsia" w:ascii="宋体" w:hAnsi="宋体" w:eastAsia="宋体" w:cs="Times New Roman"/>
          <w:color w:val="auto"/>
          <w:kern w:val="2"/>
          <w:sz w:val="24"/>
          <w:szCs w:val="24"/>
          <w:lang w:val="en-US" w:eastAsia="zh-CN" w:bidi="ar-SA"/>
        </w:rPr>
      </w:pPr>
      <w:r>
        <w:rPr>
          <w:rStyle w:val="23"/>
          <w:rFonts w:hint="eastAsia" w:ascii="宋体" w:hAnsi="宋体" w:eastAsia="宋体" w:cs="Times New Roman"/>
          <w:color w:val="auto"/>
          <w:kern w:val="2"/>
          <w:sz w:val="24"/>
          <w:szCs w:val="24"/>
          <w:lang w:val="en-US" w:eastAsia="zh-CN" w:bidi="ar-SA"/>
        </w:rPr>
        <w:t>南（试行）》，对本项目进行排污登记（登记编号：91442000MA56QJDQ0P001W，</w:t>
      </w:r>
    </w:p>
    <w:p w14:paraId="04E2B26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Style w:val="23"/>
          <w:rFonts w:hint="eastAsia" w:ascii="宋体" w:hAnsi="宋体" w:eastAsia="宋体" w:cs="Times New Roman"/>
          <w:color w:val="auto"/>
          <w:kern w:val="2"/>
          <w:sz w:val="24"/>
          <w:szCs w:val="24"/>
          <w:lang w:val="en-US" w:eastAsia="zh-CN" w:bidi="ar-SA"/>
        </w:rPr>
      </w:pPr>
      <w:r>
        <w:rPr>
          <w:rStyle w:val="23"/>
          <w:rFonts w:hint="eastAsia" w:ascii="宋体" w:hAnsi="宋体" w:eastAsia="宋体" w:cs="Times New Roman"/>
          <w:color w:val="auto"/>
          <w:kern w:val="2"/>
          <w:sz w:val="24"/>
          <w:szCs w:val="24"/>
          <w:lang w:val="en-US" w:eastAsia="zh-CN" w:bidi="ar-SA"/>
        </w:rPr>
        <w:t>需按照国家有关规定和监测规范落实自行监测要求，并保存原始监测数据。</w:t>
      </w:r>
    </w:p>
    <w:p w14:paraId="54E01BEF">
      <w:pPr>
        <w:pStyle w:val="14"/>
        <w:adjustRightInd w:val="0"/>
        <w:snapToGrid w:val="0"/>
        <w:spacing w:line="360" w:lineRule="auto"/>
        <w:ind w:firstLine="0" w:firstLineChars="0"/>
        <w:rPr>
          <w:rFonts w:ascii="宋体" w:hAnsi="宋体" w:eastAsia="宋体" w:cs="宋体"/>
          <w:sz w:val="24"/>
        </w:rPr>
      </w:pPr>
      <w:r>
        <w:rPr>
          <w:rFonts w:hint="eastAsia" w:ascii="宋体" w:hAnsi="宋体" w:eastAsia="宋体" w:cs="宋体"/>
          <w:sz w:val="24"/>
        </w:rPr>
        <w:t>2.2配套措施落实情况</w:t>
      </w:r>
    </w:p>
    <w:p w14:paraId="58C120E6">
      <w:pPr>
        <w:spacing w:line="360" w:lineRule="auto"/>
        <w:ind w:left="420" w:leftChars="200"/>
        <w:jc w:val="left"/>
        <w:outlineLvl w:val="1"/>
        <w:rPr>
          <w:rStyle w:val="23"/>
          <w:rFonts w:hint="default"/>
          <w:color w:val="auto"/>
          <w:sz w:val="24"/>
          <w:szCs w:val="24"/>
        </w:rPr>
      </w:pPr>
      <w:r>
        <w:rPr>
          <w:rStyle w:val="23"/>
          <w:rFonts w:hint="default"/>
          <w:color w:val="auto"/>
          <w:sz w:val="24"/>
          <w:szCs w:val="24"/>
        </w:rPr>
        <w:t>（一）废水</w:t>
      </w:r>
    </w:p>
    <w:p w14:paraId="51BB230D">
      <w:pPr>
        <w:spacing w:line="360" w:lineRule="auto"/>
        <w:ind w:firstLine="480" w:firstLineChars="200"/>
        <w:jc w:val="left"/>
        <w:rPr>
          <w:rStyle w:val="23"/>
          <w:rFonts w:hint="default"/>
          <w:color w:val="auto"/>
          <w:sz w:val="24"/>
          <w:szCs w:val="24"/>
        </w:rPr>
      </w:pPr>
      <w:r>
        <w:rPr>
          <w:rStyle w:val="23"/>
          <w:rFonts w:hint="default"/>
          <w:color w:val="auto"/>
          <w:sz w:val="24"/>
          <w:szCs w:val="24"/>
        </w:rPr>
        <w:t>生活污水经</w:t>
      </w:r>
      <w:r>
        <w:rPr>
          <w:rFonts w:hint="default" w:ascii="Times New Roman" w:hAnsi="Times New Roman" w:eastAsia="宋体" w:cs="Times New Roman"/>
          <w:color w:val="000000"/>
          <w:kern w:val="0"/>
          <w:sz w:val="24"/>
          <w:lang w:val="en-US" w:eastAsia="zh-CN" w:bidi="ar"/>
        </w:rPr>
        <w:t>化粪池</w:t>
      </w:r>
      <w:r>
        <w:rPr>
          <w:rStyle w:val="23"/>
          <w:rFonts w:hint="default"/>
          <w:color w:val="auto"/>
          <w:sz w:val="24"/>
          <w:szCs w:val="24"/>
        </w:rPr>
        <w:t>预处理后，通过市政管网排入</w:t>
      </w:r>
      <w:r>
        <w:rPr>
          <w:rFonts w:hint="eastAsia" w:ascii="Times New Roman" w:hAnsi="Times New Roman" w:cs="Times New Roman"/>
          <w:color w:val="000000"/>
          <w:kern w:val="0"/>
          <w:sz w:val="24"/>
          <w:lang w:val="en-US" w:eastAsia="zh-CN" w:bidi="ar"/>
        </w:rPr>
        <w:t>中山市小榄水务有</w:t>
      </w:r>
      <w:r>
        <w:rPr>
          <w:rFonts w:hint="eastAsia" w:ascii="Times New Roman" w:hAnsi="Times New Roman" w:eastAsia="宋体" w:cs="Times New Roman"/>
          <w:color w:val="000000"/>
          <w:kern w:val="0"/>
          <w:sz w:val="24"/>
          <w:lang w:val="en-US" w:eastAsia="zh-CN" w:bidi="ar"/>
        </w:rPr>
        <w:t>限公司</w:t>
      </w:r>
      <w:r>
        <w:rPr>
          <w:rStyle w:val="23"/>
          <w:rFonts w:hint="default"/>
          <w:color w:val="auto"/>
          <w:sz w:val="24"/>
          <w:szCs w:val="24"/>
        </w:rPr>
        <w:t>处理，排放口编号：</w:t>
      </w:r>
      <w:r>
        <w:rPr>
          <w:rStyle w:val="23"/>
          <w:rFonts w:hint="eastAsia" w:eastAsia="宋体"/>
          <w:color w:val="auto"/>
          <w:sz w:val="24"/>
          <w:szCs w:val="24"/>
          <w:lang w:val="en-US" w:eastAsia="zh-CN"/>
        </w:rPr>
        <w:t>DW</w:t>
      </w:r>
      <w:r>
        <w:rPr>
          <w:rStyle w:val="23"/>
          <w:rFonts w:hint="default"/>
          <w:color w:val="auto"/>
          <w:sz w:val="24"/>
          <w:szCs w:val="24"/>
        </w:rPr>
        <w:t>00</w:t>
      </w:r>
      <w:r>
        <w:rPr>
          <w:rStyle w:val="23"/>
          <w:rFonts w:hint="eastAsia" w:eastAsia="宋体"/>
          <w:color w:val="auto"/>
          <w:sz w:val="24"/>
          <w:szCs w:val="24"/>
          <w:lang w:val="en-US" w:eastAsia="zh-CN"/>
        </w:rPr>
        <w:t>1</w:t>
      </w:r>
      <w:r>
        <w:rPr>
          <w:rStyle w:val="23"/>
          <w:rFonts w:hint="default"/>
          <w:color w:val="auto"/>
          <w:sz w:val="24"/>
          <w:szCs w:val="24"/>
        </w:rPr>
        <w:t>。</w:t>
      </w:r>
    </w:p>
    <w:p w14:paraId="2A054D42">
      <w:pPr>
        <w:spacing w:line="360" w:lineRule="auto"/>
        <w:ind w:firstLine="480" w:firstLineChars="200"/>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val="en-US" w:eastAsia="zh-CN" w:bidi="ar"/>
        </w:rPr>
        <w:t>生产废水：项目冷却用水循环使用</w:t>
      </w:r>
      <w:r>
        <w:rPr>
          <w:rFonts w:ascii="Times New Roman" w:hAnsi="Times New Roman" w:eastAsia="宋体" w:cs="Times New Roman"/>
          <w:color w:val="000000"/>
          <w:kern w:val="0"/>
          <w:sz w:val="24"/>
          <w:lang w:bidi="ar"/>
        </w:rPr>
        <w:t>。</w:t>
      </w:r>
    </w:p>
    <w:p w14:paraId="21F2D7D3">
      <w:pPr>
        <w:pStyle w:val="2"/>
        <w:spacing w:line="360" w:lineRule="auto"/>
        <w:ind w:firstLine="480" w:firstLineChars="200"/>
        <w:jc w:val="left"/>
        <w:rPr>
          <w:rStyle w:val="23"/>
          <w:rFonts w:ascii="Times New Roman" w:hAnsi="Times New Roman" w:eastAsia="宋体"/>
          <w:color w:val="auto"/>
          <w:sz w:val="24"/>
          <w:szCs w:val="24"/>
        </w:rPr>
      </w:pPr>
      <w:r>
        <w:rPr>
          <w:rStyle w:val="23"/>
          <w:rFonts w:hint="default" w:ascii="Times New Roman" w:hAnsi="Times New Roman" w:eastAsia="宋体"/>
          <w:color w:val="auto"/>
          <w:sz w:val="24"/>
          <w:szCs w:val="24"/>
        </w:rPr>
        <w:t>（二）废气</w:t>
      </w:r>
    </w:p>
    <w:p w14:paraId="3E6A37BA">
      <w:pPr>
        <w:spacing w:line="360" w:lineRule="auto"/>
        <w:ind w:firstLine="480" w:firstLineChars="200"/>
        <w:jc w:val="left"/>
        <w:rPr>
          <w:rStyle w:val="23"/>
          <w:rFonts w:hint="default" w:ascii="Times New Roman" w:hAnsi="Times New Roman" w:eastAsia="宋体"/>
          <w:color w:val="auto"/>
          <w:sz w:val="24"/>
          <w:szCs w:val="24"/>
        </w:rPr>
      </w:pPr>
      <w:r>
        <w:rPr>
          <w:rFonts w:hint="eastAsia" w:ascii="Times New Roman" w:hAnsi="Times New Roman" w:eastAsia="宋体"/>
          <w:color w:val="auto"/>
          <w:sz w:val="24"/>
        </w:rPr>
        <w:t>本</w:t>
      </w:r>
      <w:r>
        <w:rPr>
          <w:rFonts w:hint="eastAsia" w:ascii="Times New Roman" w:hAnsi="Times New Roman" w:eastAsia="宋体"/>
          <w:color w:val="auto"/>
          <w:sz w:val="24"/>
          <w:szCs w:val="24"/>
          <w:lang w:val="en-US" w:eastAsia="zh-CN"/>
        </w:rPr>
        <w:t>项目位于无尘密闭注塑间中的15台注塑机注塑及相应工件清洁、投料、混料、烘料废气通过单层密闭正压收集；其余28台位于非密闭注塑区的注塑机注塑及相应工件清洁废气经集气罩收集，烘料废气经设备废气排口直连收集；移印、烘干废气通过单层密闭正压收集；以上废气经1套两级活性炭吸附装置处理后，通过1条55米排气筒高空排放</w:t>
      </w:r>
      <w:r>
        <w:rPr>
          <w:rFonts w:hint="eastAsia" w:ascii="Times New Roman" w:hAnsi="Times New Roman" w:eastAsia="宋体"/>
          <w:color w:val="auto"/>
          <w:sz w:val="24"/>
          <w:lang w:eastAsia="zh-CN"/>
        </w:rPr>
        <w:t>，</w:t>
      </w:r>
      <w:r>
        <w:rPr>
          <w:rFonts w:hint="eastAsia" w:ascii="Times New Roman" w:hAnsi="Times New Roman" w:eastAsia="宋体"/>
          <w:color w:val="auto"/>
          <w:sz w:val="24"/>
          <w:lang w:val="en-US" w:eastAsia="zh-CN"/>
        </w:rPr>
        <w:t>排</w:t>
      </w:r>
      <w:r>
        <w:rPr>
          <w:rStyle w:val="23"/>
          <w:rFonts w:hint="default" w:ascii="Times New Roman" w:hAnsi="Times New Roman" w:eastAsia="宋体"/>
          <w:color w:val="auto"/>
          <w:sz w:val="24"/>
          <w:szCs w:val="24"/>
        </w:rPr>
        <w:t>放口编号：</w:t>
      </w:r>
      <w:r>
        <w:rPr>
          <w:rStyle w:val="23"/>
          <w:rFonts w:hint="eastAsia" w:ascii="Times New Roman" w:hAnsi="Times New Roman" w:eastAsia="宋体"/>
          <w:color w:val="auto"/>
          <w:sz w:val="24"/>
          <w:szCs w:val="24"/>
          <w:lang w:val="en-US" w:eastAsia="zh-CN"/>
        </w:rPr>
        <w:t>DA001</w:t>
      </w:r>
      <w:r>
        <w:rPr>
          <w:rStyle w:val="23"/>
          <w:rFonts w:hint="eastAsia" w:ascii="Times New Roman" w:hAnsi="Times New Roman" w:eastAsia="宋体"/>
          <w:color w:val="auto"/>
          <w:sz w:val="24"/>
          <w:szCs w:val="24"/>
          <w:lang w:eastAsia="zh-CN"/>
        </w:rPr>
        <w:t>，</w:t>
      </w:r>
      <w:r>
        <w:rPr>
          <w:rStyle w:val="23"/>
          <w:rFonts w:hint="default" w:ascii="Times New Roman" w:hAnsi="Times New Roman" w:eastAsia="宋体"/>
          <w:color w:val="auto"/>
          <w:sz w:val="24"/>
          <w:szCs w:val="24"/>
        </w:rPr>
        <w:t>检测口、采样平台设置基本规范。</w:t>
      </w:r>
    </w:p>
    <w:p w14:paraId="68DF415B">
      <w:pPr>
        <w:spacing w:line="360" w:lineRule="auto"/>
        <w:ind w:firstLine="480" w:firstLineChars="200"/>
        <w:jc w:val="left"/>
        <w:rPr>
          <w:rStyle w:val="23"/>
          <w:rFonts w:hint="default"/>
          <w:color w:val="auto"/>
          <w:sz w:val="24"/>
          <w:szCs w:val="24"/>
        </w:rPr>
      </w:pPr>
      <w:r>
        <w:rPr>
          <w:rStyle w:val="23"/>
          <w:rFonts w:hint="default"/>
          <w:color w:val="auto"/>
          <w:sz w:val="24"/>
          <w:szCs w:val="24"/>
        </w:rPr>
        <w:t>（三）噪声</w:t>
      </w:r>
    </w:p>
    <w:p w14:paraId="2CE08EEA">
      <w:pPr>
        <w:spacing w:line="360" w:lineRule="auto"/>
        <w:ind w:firstLine="480" w:firstLineChars="200"/>
        <w:jc w:val="left"/>
        <w:rPr>
          <w:rStyle w:val="23"/>
          <w:rFonts w:hint="default"/>
          <w:color w:val="auto"/>
          <w:sz w:val="24"/>
          <w:szCs w:val="24"/>
        </w:rPr>
      </w:pPr>
      <w:r>
        <w:rPr>
          <w:rStyle w:val="23"/>
          <w:rFonts w:hint="default"/>
          <w:color w:val="auto"/>
          <w:sz w:val="24"/>
          <w:szCs w:val="24"/>
        </w:rPr>
        <w:t>项目采取噪声污染防治措施主要是：选用低噪声设备，合理布局噪声源，加强设备日常维护等综合治理措施来降低噪声。</w:t>
      </w:r>
    </w:p>
    <w:p w14:paraId="7EB5ABB4">
      <w:pPr>
        <w:spacing w:line="360" w:lineRule="auto"/>
        <w:ind w:firstLine="480" w:firstLineChars="200"/>
        <w:jc w:val="left"/>
        <w:outlineLvl w:val="1"/>
        <w:rPr>
          <w:rStyle w:val="23"/>
          <w:rFonts w:hint="default"/>
          <w:color w:val="auto"/>
          <w:sz w:val="24"/>
          <w:szCs w:val="24"/>
        </w:rPr>
      </w:pPr>
      <w:r>
        <w:rPr>
          <w:rStyle w:val="23"/>
          <w:rFonts w:hint="default"/>
          <w:color w:val="auto"/>
          <w:sz w:val="24"/>
          <w:szCs w:val="24"/>
        </w:rPr>
        <w:t>（四）固体废物</w:t>
      </w:r>
    </w:p>
    <w:p w14:paraId="5D0F5C8B">
      <w:pPr>
        <w:spacing w:line="360" w:lineRule="auto"/>
        <w:ind w:firstLine="480" w:firstLineChars="200"/>
        <w:jc w:val="left"/>
        <w:rPr>
          <w:rStyle w:val="23"/>
          <w:color w:val="auto"/>
          <w:sz w:val="24"/>
          <w:szCs w:val="24"/>
        </w:rPr>
      </w:pPr>
      <w:r>
        <w:rPr>
          <w:rStyle w:val="23"/>
          <w:rFonts w:hint="default"/>
          <w:color w:val="auto"/>
          <w:sz w:val="24"/>
          <w:szCs w:val="24"/>
        </w:rPr>
        <w:t>一般固体废物存储场所设有标识牌</w:t>
      </w:r>
      <w:r>
        <w:rPr>
          <w:rStyle w:val="23"/>
          <w:color w:val="auto"/>
          <w:sz w:val="24"/>
          <w:szCs w:val="24"/>
        </w:rPr>
        <w:t>。</w:t>
      </w:r>
    </w:p>
    <w:p w14:paraId="5E112FA3">
      <w:pPr>
        <w:spacing w:line="360" w:lineRule="auto"/>
        <w:ind w:firstLine="480" w:firstLineChars="200"/>
        <w:jc w:val="left"/>
        <w:rPr>
          <w:rStyle w:val="23"/>
          <w:rFonts w:hint="default"/>
          <w:color w:val="auto"/>
          <w:sz w:val="24"/>
          <w:szCs w:val="24"/>
        </w:rPr>
      </w:pPr>
      <w:r>
        <w:rPr>
          <w:rStyle w:val="23"/>
          <w:rFonts w:hint="default"/>
          <w:color w:val="auto"/>
          <w:sz w:val="24"/>
          <w:szCs w:val="24"/>
        </w:rPr>
        <w:t>危险废物存储场所单独设置，设有标识牌、警示牌，有防渗、防流失措施，场所建设符合相关管理要求</w:t>
      </w:r>
      <w:r>
        <w:rPr>
          <w:rStyle w:val="23"/>
          <w:color w:val="auto"/>
          <w:sz w:val="24"/>
          <w:szCs w:val="24"/>
        </w:rPr>
        <w:t>。</w:t>
      </w:r>
    </w:p>
    <w:p w14:paraId="7CD0A982">
      <w:pPr>
        <w:pStyle w:val="14"/>
        <w:adjustRightInd w:val="0"/>
        <w:snapToGrid w:val="0"/>
        <w:spacing w:line="360" w:lineRule="auto"/>
        <w:ind w:firstLine="0" w:firstLineChars="0"/>
        <w:rPr>
          <w:rFonts w:ascii="Times New Roman" w:hAnsi="Times New Roman" w:eastAsia="宋体" w:cs="Times New Roman"/>
          <w:b/>
          <w:bCs/>
          <w:sz w:val="24"/>
        </w:rPr>
      </w:pPr>
      <w:r>
        <w:rPr>
          <w:rFonts w:ascii="Times New Roman" w:hAnsi="Times New Roman" w:eastAsia="宋体" w:cs="Times New Roman"/>
          <w:b/>
          <w:bCs/>
          <w:sz w:val="24"/>
        </w:rPr>
        <w:t>3、整改工作情况</w:t>
      </w:r>
    </w:p>
    <w:p w14:paraId="76CD49DC">
      <w:pPr>
        <w:pStyle w:val="14"/>
        <w:adjustRightInd w:val="0"/>
        <w:snapToGrid w:val="0"/>
        <w:spacing w:line="360" w:lineRule="auto"/>
        <w:ind w:firstLine="480"/>
        <w:rPr>
          <w:rFonts w:ascii="宋体" w:hAnsi="宋体" w:eastAsia="宋体" w:cs="宋体"/>
          <w:color w:val="auto"/>
          <w:sz w:val="24"/>
        </w:rPr>
      </w:pPr>
      <w:r>
        <w:rPr>
          <w:rFonts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26</w:t>
      </w:r>
      <w:r>
        <w:rPr>
          <w:rFonts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5</w:t>
      </w:r>
      <w:r>
        <w:rPr>
          <w:rFonts w:ascii="Times New Roman" w:hAnsi="Times New Roman" w:eastAsia="宋体" w:cs="Times New Roman"/>
          <w:color w:val="auto"/>
          <w:sz w:val="24"/>
        </w:rPr>
        <w:t>月</w:t>
      </w:r>
      <w:r>
        <w:rPr>
          <w:rFonts w:hint="eastAsia" w:ascii="宋体" w:hAnsi="宋体" w:eastAsia="宋体" w:cs="宋体"/>
          <w:color w:val="auto"/>
          <w:sz w:val="24"/>
        </w:rPr>
        <w:t>验收组前期现场提出</w:t>
      </w:r>
      <w:r>
        <w:rPr>
          <w:rFonts w:hint="eastAsia" w:ascii="宋体" w:hAnsi="宋体" w:eastAsia="宋体" w:cs="宋体"/>
          <w:color w:val="auto"/>
          <w:sz w:val="24"/>
          <w:lang w:val="en-US" w:eastAsia="zh-CN"/>
        </w:rPr>
        <w:t>规范危废房设置问题</w:t>
      </w:r>
      <w:r>
        <w:rPr>
          <w:rFonts w:hint="eastAsia" w:ascii="宋体" w:hAnsi="宋体" w:eastAsia="宋体" w:cs="宋体"/>
          <w:color w:val="auto"/>
          <w:sz w:val="24"/>
        </w:rPr>
        <w:t>。</w:t>
      </w:r>
    </w:p>
    <w:p w14:paraId="36224290">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察看时企业对上述意见进行了落实。</w:t>
      </w:r>
    </w:p>
    <w:p w14:paraId="48B45ACB">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竣工验收时专家组验收提出的建议如下：</w:t>
      </w:r>
    </w:p>
    <w:p w14:paraId="7E63C7F5">
      <w:pPr>
        <w:pStyle w:val="14"/>
        <w:adjustRightInd w:val="0"/>
        <w:snapToGrid w:val="0"/>
        <w:spacing w:line="360" w:lineRule="auto"/>
        <w:ind w:firstLine="480"/>
        <w:rPr>
          <w:rFonts w:ascii="宋体" w:hAnsi="宋体" w:eastAsia="宋体" w:cs="宋体"/>
          <w:sz w:val="24"/>
        </w:rPr>
      </w:pPr>
      <w:r>
        <w:rPr>
          <w:rFonts w:hint="eastAsia" w:ascii="宋体" w:hAnsi="宋体" w:eastAsia="宋体" w:cs="宋体"/>
          <w:sz w:val="24"/>
        </w:rPr>
        <w:t>无。</w:t>
      </w:r>
    </w:p>
    <w:p w14:paraId="37318FA5">
      <w:pPr>
        <w:pStyle w:val="14"/>
        <w:adjustRightInd w:val="0"/>
        <w:snapToGrid w:val="0"/>
        <w:spacing w:line="360" w:lineRule="auto"/>
        <w:ind w:left="420" w:leftChars="200" w:firstLine="0" w:firstLineChars="0"/>
        <w:jc w:val="right"/>
        <w:rPr>
          <w:rFonts w:hint="eastAsia" w:ascii="宋体" w:hAnsi="宋体" w:eastAsia="宋体" w:cs="宋体"/>
          <w:sz w:val="24"/>
          <w:lang w:eastAsia="zh-CN"/>
        </w:rPr>
      </w:pPr>
      <w:r>
        <w:rPr>
          <w:rStyle w:val="23"/>
          <w:rFonts w:hint="eastAsia" w:eastAsia="宋体"/>
          <w:color w:val="auto"/>
          <w:sz w:val="24"/>
          <w:szCs w:val="24"/>
          <w:lang w:val="en-US" w:eastAsia="zh-CN"/>
        </w:rPr>
        <w:t>恒泰智能科技（中山）有限公司</w:t>
      </w:r>
    </w:p>
    <w:p w14:paraId="686E19A1">
      <w:pPr>
        <w:pStyle w:val="14"/>
        <w:adjustRightInd w:val="0"/>
        <w:snapToGrid w:val="0"/>
        <w:spacing w:line="360" w:lineRule="auto"/>
        <w:ind w:firstLine="6000" w:firstLineChars="2500"/>
        <w:rPr>
          <w:rFonts w:ascii="宋体" w:hAnsi="宋体" w:eastAsia="宋体" w:cs="宋体"/>
          <w:sz w:val="24"/>
        </w:rPr>
      </w:pPr>
      <w:r>
        <w:rPr>
          <w:rFonts w:hint="eastAsia" w:ascii="宋体" w:hAnsi="宋体" w:eastAsia="宋体" w:cs="宋体"/>
          <w:sz w:val="24"/>
          <w:lang w:val="en-US" w:eastAsia="zh-CN"/>
        </w:rPr>
        <w:t>2026</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 xml:space="preserve">28 </w:t>
      </w:r>
      <w:r>
        <w:rPr>
          <w:rFonts w:hint="eastAsia" w:ascii="宋体" w:hAnsi="宋体" w:eastAsia="宋体" w:cs="宋体"/>
          <w:sz w:val="24"/>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69C50D"/>
    <w:multiLevelType w:val="singleLevel"/>
    <w:tmpl w:val="EE69C50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jYWVkZjc5NjgzYWY1OWEzNzc2NTQ2OTBjMTliYWUifQ=="/>
  </w:docVars>
  <w:rsids>
    <w:rsidRoot w:val="34EE7534"/>
    <w:rsid w:val="00102DFD"/>
    <w:rsid w:val="00110329"/>
    <w:rsid w:val="002333D3"/>
    <w:rsid w:val="003554AC"/>
    <w:rsid w:val="003A6D47"/>
    <w:rsid w:val="004B5EA7"/>
    <w:rsid w:val="005715D6"/>
    <w:rsid w:val="005D1266"/>
    <w:rsid w:val="006A3EDE"/>
    <w:rsid w:val="00763129"/>
    <w:rsid w:val="0082002A"/>
    <w:rsid w:val="00BC6E70"/>
    <w:rsid w:val="03D26EB6"/>
    <w:rsid w:val="05BF5C59"/>
    <w:rsid w:val="06DA1532"/>
    <w:rsid w:val="18230AD3"/>
    <w:rsid w:val="193B32B0"/>
    <w:rsid w:val="235338EE"/>
    <w:rsid w:val="25CF7756"/>
    <w:rsid w:val="2BC42716"/>
    <w:rsid w:val="2E0D5256"/>
    <w:rsid w:val="2FAE0A07"/>
    <w:rsid w:val="34EE7534"/>
    <w:rsid w:val="5F6B7E54"/>
    <w:rsid w:val="64FD3107"/>
    <w:rsid w:val="6BAC2EB2"/>
    <w:rsid w:val="708D4503"/>
    <w:rsid w:val="7D437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13">
    <w:name w:val="heading 3"/>
    <w:basedOn w:val="1"/>
    <w:next w:val="1"/>
    <w:qFormat/>
    <w:uiPriority w:val="0"/>
    <w:pPr>
      <w:keepNext/>
      <w:keepLines/>
      <w:adjustRightInd w:val="0"/>
      <w:spacing w:line="360" w:lineRule="auto"/>
      <w:ind w:firstLine="482" w:firstLineChars="200"/>
      <w:outlineLvl w:val="2"/>
    </w:pPr>
    <w:rPr>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hint="eastAsia" w:ascii="宋体" w:hAnsi="宋体" w:eastAsia="宋体" w:cs="Times New Roman"/>
      <w:color w:val="000000"/>
      <w:sz w:val="24"/>
    </w:rPr>
  </w:style>
  <w:style w:type="paragraph" w:customStyle="1" w:styleId="3">
    <w:name w:val="纯文本1"/>
    <w:basedOn w:val="1"/>
    <w:qFormat/>
    <w:uiPriority w:val="0"/>
    <w:pPr>
      <w:adjustRightInd w:val="0"/>
    </w:pPr>
    <w:rPr>
      <w:rFonts w:ascii="宋体" w:hAnsi="Courier New"/>
      <w:szCs w:val="20"/>
    </w:rPr>
  </w:style>
  <w:style w:type="paragraph" w:customStyle="1" w:styleId="4">
    <w:name w:val="样式35"/>
    <w:basedOn w:val="5"/>
    <w:next w:val="6"/>
    <w:qFormat/>
    <w:uiPriority w:val="0"/>
    <w:pPr>
      <w:spacing w:line="312" w:lineRule="auto"/>
      <w:ind w:firstLine="567"/>
    </w:pPr>
    <w:rPr>
      <w:rFonts w:ascii="宋体"/>
    </w:rPr>
  </w:style>
  <w:style w:type="paragraph" w:customStyle="1" w:styleId="5">
    <w:name w:val="表 内容"/>
    <w:basedOn w:val="1"/>
    <w:qFormat/>
    <w:uiPriority w:val="0"/>
    <w:pPr>
      <w:snapToGrid w:val="0"/>
      <w:spacing w:line="240" w:lineRule="atLeast"/>
      <w:jc w:val="center"/>
    </w:pPr>
    <w:rPr>
      <w:kern w:val="0"/>
      <w:sz w:val="21"/>
      <w:szCs w:val="21"/>
    </w:rPr>
  </w:style>
  <w:style w:type="paragraph" w:customStyle="1" w:styleId="6">
    <w:name w:val="font6"/>
    <w:basedOn w:val="7"/>
    <w:next w:val="8"/>
    <w:qFormat/>
    <w:uiPriority w:val="0"/>
    <w:pPr>
      <w:widowControl/>
      <w:spacing w:before="280" w:after="280"/>
      <w:ind w:firstLine="0"/>
    </w:pPr>
    <w:rPr>
      <w:sz w:val="21"/>
    </w:rPr>
  </w:style>
  <w:style w:type="paragraph" w:customStyle="1" w:styleId="7">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toc 2"/>
    <w:basedOn w:val="1"/>
    <w:next w:val="9"/>
    <w:qFormat/>
    <w:uiPriority w:val="0"/>
    <w:pPr>
      <w:ind w:left="420" w:leftChars="200"/>
    </w:pPr>
  </w:style>
  <w:style w:type="paragraph" w:styleId="9">
    <w:name w:val="E-mail Signature"/>
    <w:basedOn w:val="1"/>
    <w:next w:val="10"/>
    <w:qFormat/>
    <w:uiPriority w:val="0"/>
    <w:pPr>
      <w:spacing w:line="460" w:lineRule="exact"/>
      <w:ind w:firstLine="200"/>
    </w:pPr>
  </w:style>
  <w:style w:type="paragraph" w:customStyle="1" w:styleId="10">
    <w:name w:val="文章"/>
    <w:basedOn w:val="11"/>
    <w:next w:val="12"/>
    <w:qFormat/>
    <w:uiPriority w:val="0"/>
    <w:pPr>
      <w:widowControl/>
      <w:jc w:val="center"/>
    </w:pPr>
    <w:rPr>
      <w:sz w:val="26"/>
    </w:rPr>
  </w:style>
  <w:style w:type="paragraph" w:styleId="11">
    <w:name w:val="Body Text Indent"/>
    <w:basedOn w:val="1"/>
    <w:qFormat/>
    <w:uiPriority w:val="0"/>
    <w:pPr>
      <w:spacing w:line="360" w:lineRule="auto"/>
      <w:ind w:firstLine="524" w:firstLineChars="187"/>
    </w:pPr>
    <w:rPr>
      <w:rFonts w:ascii="Times New Roman" w:hAnsi="宋体"/>
      <w:kern w:val="0"/>
      <w:sz w:val="28"/>
      <w:szCs w:val="24"/>
    </w:rPr>
  </w:style>
  <w:style w:type="paragraph" w:styleId="12">
    <w:name w:val="List"/>
    <w:basedOn w:val="1"/>
    <w:next w:val="1"/>
    <w:qFormat/>
    <w:uiPriority w:val="0"/>
    <w:pPr>
      <w:ind w:left="200" w:hanging="200" w:hangingChars="200"/>
      <w:contextualSpacing/>
    </w:pPr>
  </w:style>
  <w:style w:type="paragraph" w:styleId="14">
    <w:name w:val="Normal Indent"/>
    <w:basedOn w:val="1"/>
    <w:qFormat/>
    <w:uiPriority w:val="99"/>
    <w:pPr>
      <w:ind w:firstLine="420" w:firstLineChars="200"/>
    </w:pPr>
  </w:style>
  <w:style w:type="paragraph" w:styleId="15">
    <w:name w:val="footer"/>
    <w:basedOn w:val="1"/>
    <w:link w:val="22"/>
    <w:qFormat/>
    <w:uiPriority w:val="0"/>
    <w:pPr>
      <w:tabs>
        <w:tab w:val="center" w:pos="4153"/>
        <w:tab w:val="right" w:pos="8306"/>
      </w:tabs>
      <w:snapToGrid w:val="0"/>
      <w:jc w:val="left"/>
    </w:pPr>
    <w:rPr>
      <w:sz w:val="18"/>
      <w:szCs w:val="18"/>
    </w:rPr>
  </w:style>
  <w:style w:type="paragraph" w:styleId="16">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First Indent 2"/>
    <w:basedOn w:val="11"/>
    <w:unhideWhenUsed/>
    <w:qFormat/>
    <w:uiPriority w:val="0"/>
    <w:pPr>
      <w:tabs>
        <w:tab w:val="left" w:pos="480"/>
      </w:tabs>
      <w:snapToGrid w:val="0"/>
      <w:spacing w:after="120"/>
      <w:ind w:left="420" w:leftChars="200" w:firstLine="420" w:firstLineChars="200"/>
    </w:pPr>
    <w:rPr>
      <w:snapToGrid w:val="0"/>
      <w:sz w:val="24"/>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页眉 Char"/>
    <w:basedOn w:val="20"/>
    <w:link w:val="16"/>
    <w:qFormat/>
    <w:uiPriority w:val="0"/>
    <w:rPr>
      <w:rFonts w:asciiTheme="minorHAnsi" w:hAnsiTheme="minorHAnsi" w:eastAsiaTheme="minorEastAsia" w:cstheme="minorBidi"/>
      <w:kern w:val="2"/>
      <w:sz w:val="18"/>
      <w:szCs w:val="18"/>
    </w:rPr>
  </w:style>
  <w:style w:type="character" w:customStyle="1" w:styleId="22">
    <w:name w:val="页脚 Char"/>
    <w:basedOn w:val="20"/>
    <w:link w:val="15"/>
    <w:qFormat/>
    <w:uiPriority w:val="0"/>
    <w:rPr>
      <w:rFonts w:asciiTheme="minorHAnsi" w:hAnsiTheme="minorHAnsi" w:eastAsiaTheme="minorEastAsia" w:cstheme="minorBidi"/>
      <w:kern w:val="2"/>
      <w:sz w:val="18"/>
      <w:szCs w:val="18"/>
    </w:rPr>
  </w:style>
  <w:style w:type="character" w:customStyle="1" w:styleId="23">
    <w:name w:val="fontstyle01"/>
    <w:basedOn w:val="20"/>
    <w:qFormat/>
    <w:uiPriority w:val="0"/>
    <w:rPr>
      <w:rFonts w:hint="eastAsia" w:ascii="宋体" w:hAnsi="宋体" w:eastAsia="宋体"/>
      <w:color w:val="000000"/>
      <w:sz w:val="22"/>
      <w:szCs w:val="22"/>
    </w:rPr>
  </w:style>
  <w:style w:type="paragraph" w:customStyle="1" w:styleId="24">
    <w:name w:val="Default1"/>
    <w:basedOn w:val="25"/>
    <w:next w:val="1"/>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25">
    <w:name w:val="表格文字01"/>
    <w:basedOn w:val="1"/>
    <w:qFormat/>
    <w:uiPriority w:val="0"/>
    <w:pPr>
      <w:wordWrap w:val="0"/>
      <w:overflowPunct w:val="0"/>
      <w:topLinePunct/>
      <w:jc w:val="center"/>
    </w:pPr>
    <w:rPr>
      <w:rFonts w:ascii="Arial" w:hAnsi="Arial" w:eastAsia="宋体" w:cs="Times New Roman"/>
      <w:snapToGrid w:val="0"/>
      <w:color w:val="00000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1449</Words>
  <Characters>1542</Characters>
  <Lines>10</Lines>
  <Paragraphs>2</Paragraphs>
  <TotalTime>10</TotalTime>
  <ScaleCrop>false</ScaleCrop>
  <LinksUpToDate>false</LinksUpToDate>
  <CharactersWithSpaces>1614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2021-03-12T01:27:00Z</dcterms:created>
  <dc:creator>s</dc:creator>
  <cp:lastModifiedBy>暮色</cp:lastModifiedBy>
  <cp:lastPrinted>2023-04-25T07:50:00Z</cp:lastPrinted>
  <dcterms:modified xsi:type="dcterms:W3CDTF">2026-06-15T11:55:32Z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AA4A59010B4445D89ED256F679F3ADA6_13</vt:lpwstr>
  </property>
  <property fmtid="{D5CDD505-2E9C-101B-9397-08002B2CF9AE}" pid="4" name="KSOTemplateDocerSaveRecord">
    <vt:lpwstr>eyJoZGlkIjoiZWY2MDVjOWE5ZDE4YzVmYmEwMTc5ZjMwZjVhNmQ0MzUiLCJ1c2VySWQiOiI3ODgwMjg0OTUifQ==</vt:lpwstr>
  </property>
</Properties>
</file>